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F225E">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1</w:t>
      </w:r>
      <w:r>
        <w:rPr>
          <w:rFonts w:hint="eastAsia" w:ascii="黑体" w:hAnsi="黑体" w:eastAsia="黑体"/>
          <w:sz w:val="36"/>
          <w:szCs w:val="36"/>
        </w:rPr>
        <w:t>课程资源库</w:t>
      </w:r>
    </w:p>
    <w:p w14:paraId="59165688">
      <w:pPr>
        <w:spacing w:line="276" w:lineRule="auto"/>
        <w:jc w:val="center"/>
        <w:rPr>
          <w:rFonts w:hint="eastAsia" w:ascii="黑体" w:hAnsi="黑体" w:eastAsia="黑体"/>
          <w:sz w:val="36"/>
          <w:szCs w:val="36"/>
          <w:lang w:val="en-US" w:eastAsia="zh-CN"/>
        </w:rPr>
      </w:pPr>
      <w:r>
        <w:rPr>
          <w:rFonts w:hint="eastAsia" w:ascii="黑体" w:hAnsi="黑体" w:eastAsia="黑体"/>
          <w:sz w:val="36"/>
          <w:szCs w:val="36"/>
        </w:rPr>
        <w:t>——</w:t>
      </w:r>
      <w:r>
        <w:rPr>
          <w:rFonts w:hint="eastAsia" w:ascii="黑体" w:hAnsi="黑体" w:eastAsia="黑体"/>
          <w:sz w:val="36"/>
          <w:szCs w:val="36"/>
          <w:lang w:val="en-US" w:eastAsia="zh-CN"/>
        </w:rPr>
        <w:t>拓展资料</w:t>
      </w:r>
      <w:bookmarkStart w:id="0" w:name="_GoBack"/>
      <w:bookmarkEnd w:id="0"/>
    </w:p>
    <w:p w14:paraId="79E7BA40">
      <w:pPr>
        <w:numPr>
          <w:ilvl w:val="0"/>
          <w:numId w:val="0"/>
        </w:numPr>
        <w:spacing w:line="276" w:lineRule="auto"/>
        <w:jc w:val="center"/>
        <w:rPr>
          <w:rFonts w:hint="default" w:ascii="黑体" w:hAnsi="黑体" w:eastAsia="黑体" w:cs="黑体"/>
          <w:b w:val="0"/>
          <w:bCs w:val="0"/>
          <w:sz w:val="28"/>
          <w:szCs w:val="28"/>
          <w:lang w:val="en-US"/>
        </w:rPr>
      </w:pPr>
      <w:r>
        <w:rPr>
          <w:rFonts w:hint="eastAsia" w:ascii="黑体" w:hAnsi="黑体" w:eastAsia="黑体" w:cs="黑体"/>
          <w:b w:val="0"/>
          <w:bCs w:val="0"/>
          <w:sz w:val="28"/>
          <w:szCs w:val="28"/>
          <w:lang w:val="en-US" w:eastAsia="zh-CN"/>
        </w:rPr>
        <w:t>第4章  免疫调节</w:t>
      </w:r>
    </w:p>
    <w:p w14:paraId="388CDE71">
      <w:pPr>
        <w:pStyle w:val="10"/>
        <w:spacing w:line="480" w:lineRule="exact"/>
        <w:jc w:val="center"/>
        <w:outlineLvl w:val="3"/>
        <w:rPr>
          <w:rFonts w:hint="default" w:ascii="黑体" w:hAnsi="黑体" w:eastAsia="黑体" w:cs="黑体"/>
          <w:b w:val="0"/>
          <w:bCs w:val="0"/>
          <w:color w:val="000000"/>
          <w:sz w:val="28"/>
          <w:szCs w:val="28"/>
          <w:lang w:val="en-US" w:eastAsia="zh-CN" w:bidi="ar-SA"/>
        </w:rPr>
      </w:pPr>
      <w:r>
        <w:rPr>
          <w:rFonts w:hint="eastAsia" w:ascii="黑体" w:hAnsi="黑体" w:eastAsia="黑体" w:cs="黑体"/>
          <w:b w:val="0"/>
          <w:bCs w:val="0"/>
          <w:color w:val="000000"/>
          <w:sz w:val="28"/>
          <w:szCs w:val="28"/>
          <w:lang w:val="en-US" w:eastAsia="zh-CN" w:bidi="ar-SA"/>
        </w:rPr>
        <w:t>第2节  特异性免疫</w:t>
      </w:r>
    </w:p>
    <w:p w14:paraId="2A9C26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64" w:firstLineChars="200"/>
        <w:jc w:val="center"/>
        <w:rPr>
          <w:rFonts w:hint="eastAsia" w:ascii="楷体" w:hAnsi="楷体" w:eastAsia="楷体" w:cs="楷体"/>
          <w:color w:val="000000"/>
          <w:spacing w:val="6"/>
          <w:sz w:val="32"/>
          <w:szCs w:val="32"/>
          <w:lang w:val="en-US" w:eastAsia="zh-CN"/>
        </w:rPr>
      </w:pPr>
    </w:p>
    <w:p w14:paraId="36C166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64" w:firstLineChars="200"/>
        <w:jc w:val="center"/>
        <w:rPr>
          <w:rFonts w:hint="default" w:ascii="楷体" w:hAnsi="楷体" w:eastAsia="楷体" w:cs="楷体"/>
          <w:color w:val="000000"/>
          <w:spacing w:val="6"/>
          <w:sz w:val="32"/>
          <w:szCs w:val="32"/>
          <w:lang w:val="en-US" w:eastAsia="zh-CN"/>
        </w:rPr>
      </w:pPr>
      <w:r>
        <w:rPr>
          <w:rFonts w:hint="eastAsia" w:ascii="楷体" w:hAnsi="楷体" w:eastAsia="楷体" w:cs="楷体"/>
          <w:color w:val="000000"/>
          <w:spacing w:val="6"/>
          <w:sz w:val="32"/>
          <w:szCs w:val="32"/>
          <w:lang w:val="en-US" w:eastAsia="zh-CN"/>
        </w:rPr>
        <w:drawing>
          <wp:anchor distT="0" distB="0" distL="114300" distR="114300" simplePos="0" relativeHeight="251659264" behindDoc="0" locked="0" layoutInCell="1" allowOverlap="1">
            <wp:simplePos x="0" y="0"/>
            <wp:positionH relativeFrom="page">
              <wp:posOffset>10998200</wp:posOffset>
            </wp:positionH>
            <wp:positionV relativeFrom="topMargin">
              <wp:posOffset>10236200</wp:posOffset>
            </wp:positionV>
            <wp:extent cx="444500" cy="419100"/>
            <wp:effectExtent l="0" t="0" r="12700" b="7620"/>
            <wp:wrapNone/>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6"/>
                    <a:stretch>
                      <a:fillRect/>
                    </a:stretch>
                  </pic:blipFill>
                  <pic:spPr>
                    <a:xfrm>
                      <a:off x="0" y="0"/>
                      <a:ext cx="444500" cy="419100"/>
                    </a:xfrm>
                    <a:prstGeom prst="rect">
                      <a:avLst/>
                    </a:prstGeom>
                  </pic:spPr>
                </pic:pic>
              </a:graphicData>
            </a:graphic>
          </wp:anchor>
        </w:drawing>
      </w:r>
      <w:r>
        <w:rPr>
          <w:rFonts w:hint="eastAsia" w:ascii="楷体" w:hAnsi="楷体" w:eastAsia="楷体" w:cs="楷体"/>
          <w:color w:val="000000"/>
          <w:spacing w:val="6"/>
          <w:sz w:val="32"/>
          <w:szCs w:val="32"/>
          <w:lang w:val="en-US" w:eastAsia="zh-CN"/>
        </w:rPr>
        <w:t>怎样准确认识特异性免疫的特异性</w:t>
      </w:r>
    </w:p>
    <w:p w14:paraId="63DFBA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楷体" w:hAnsi="楷体" w:eastAsia="楷体" w:cs="楷体"/>
          <w:color w:val="000000"/>
          <w:spacing w:val="6"/>
          <w:sz w:val="28"/>
          <w:szCs w:val="28"/>
        </w:rPr>
        <w:t>    我们知道，人体有三道防线抵御病原体的攻击，第三道防卫体系——获得性免疫系统即特异性免疫系统。对于在进化上结构非常复杂的人体来说，能够使我们获得保护的三道防卫系统几乎能抵御所有的入侵病原体。</w:t>
      </w:r>
    </w:p>
    <w:p w14:paraId="345C51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楷体" w:hAnsi="楷体" w:eastAsia="楷体" w:cs="楷体"/>
          <w:color w:val="000000"/>
          <w:spacing w:val="6"/>
          <w:sz w:val="28"/>
          <w:szCs w:val="28"/>
        </w:rPr>
        <w:t>    人体（也包括高等动物）进化出特异性免疫可能</w:t>
      </w:r>
      <w:r>
        <w:rPr>
          <w:rFonts w:hint="eastAsia" w:ascii="楷体" w:hAnsi="楷体" w:eastAsia="楷体" w:cs="楷体"/>
          <w:color w:val="000000"/>
          <w:spacing w:val="7"/>
          <w:sz w:val="28"/>
          <w:szCs w:val="28"/>
        </w:rPr>
        <w:t>是为了保护我们免受病毒的侵害，因为先天免疫系统并不足以有效针对病毒的侵害。应该强调的是，虽然能抵御所有病毒，但抵御某一种病毒免疫反应对另一种病毒几乎不起作用，例如：预防天花的疫苗接种仅仅能够保护机体抗击天花病毒或与其非常相近的病毒（如牛痘病毒）的感染， 仍然可能患腮腺炎、麻疹以及其他的疾病，这就是特异性免疫系统的典型特征——它所获得的抵抗力仅针对特异的入侵病原体。</w:t>
      </w:r>
    </w:p>
    <w:p w14:paraId="476DAE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楷体" w:hAnsi="楷体" w:eastAsia="楷体" w:cs="楷体"/>
          <w:color w:val="000000"/>
          <w:spacing w:val="6"/>
          <w:sz w:val="28"/>
          <w:szCs w:val="28"/>
        </w:rPr>
        <w:t>    在这个问题上一个比较令人接受的学说是克隆选择学说，对于体液免疫而言，当B 细胞受体与同源抗原结合之后，B 细胞即被激活，体积增大并分裂，</w:t>
      </w:r>
      <w:r>
        <w:rPr>
          <w:rFonts w:hint="eastAsia" w:ascii="楷体" w:hAnsi="楷体" w:eastAsia="楷体" w:cs="楷体"/>
          <w:color w:val="000000"/>
          <w:spacing w:val="7"/>
          <w:sz w:val="28"/>
          <w:szCs w:val="28"/>
        </w:rPr>
        <w:t>产生上万个完全一样的细胞所组成的 克隆，其中每个 B 细胞表面具有能识别相同同源抗原的受体。</w:t>
      </w:r>
      <w:r>
        <w:rPr>
          <w:rFonts w:hint="eastAsia" w:ascii="楷体" w:hAnsi="楷体" w:eastAsia="楷体" w:cs="楷体"/>
          <w:color w:val="000000"/>
          <w:spacing w:val="6"/>
          <w:sz w:val="28"/>
          <w:szCs w:val="28"/>
        </w:rPr>
        <w:t>克隆选择原则实际上就是增殖形成的这一群B细胞的每个B细胞仅能制造出具有一种抗原结合区的抗体分子，也就是说，这类抗体只特异针对特定的抗原，该抗原被称为这类抗体的同源抗原。这些抗体分子就分布于其所产生的 B 细胞表面，而通过这些抗体分子就是B细胞受体（BCR），通过它B 细胞即可以识别存在于细胞外的同源抗原。BCR具有多样性，是通过DNA片段的组合设计的策略形成的。众所周 知，细胞通常都是依靠横跨于细胞膜上、类似天线一样的受体来感知外界的变化，即利用受体分子识别外界的特定分子，并依赖于由这个受体导入的信号而做出相应反应。也就是细胞能感知其生存的外界环境并对环境做出反应。每个B 细胞表面都具有上千个 BCR 分子，但在特定的 B 细胞上所有这些受体都只识别相同的同源抗原。</w:t>
      </w:r>
      <w:r>
        <w:rPr>
          <w:rFonts w:hint="eastAsia" w:ascii="楷体" w:hAnsi="楷体" w:eastAsia="楷体" w:cs="楷体"/>
          <w:color w:val="000000"/>
          <w:spacing w:val="7"/>
          <w:sz w:val="28"/>
          <w:szCs w:val="28"/>
        </w:rPr>
        <w:t>这个克隆中的大多数成员将最终成熟为浆B细胞，它们即可以产生大量的抗体并释放到血液和组织中。这里提到了两种抗体，一种是B细胞膜结合抗体，就是B细胞受体BCR；一种是分泌型抗体，分泌的抗体分子几乎与B细胞受体完全相同，唯一的区别是在其重链末端缺乏锚定于细胞膜的蛋白序列，由于缺乏这种序列，抗体分子被运出 B 细胞，自由地到达全身各处，行使自己的职责。简而言之，一个 B 细胞可以识别它的同源抗原，识别后的 B 细胞即被选择增殖以形成一个 B 细胞的克隆群体，这个细胞群体所具有的受体均能识别相同的抗原。这就是克隆选择原则。简单地说，B细胞受体识别某种病原体，就会产生与受体相同的抗体来对付这一种特定的病原体这就是“特异”。</w:t>
      </w:r>
    </w:p>
    <w:p w14:paraId="2573BD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楷体" w:hAnsi="楷体" w:eastAsia="楷体" w:cs="楷体"/>
          <w:color w:val="000000"/>
          <w:spacing w:val="6"/>
          <w:sz w:val="28"/>
          <w:szCs w:val="28"/>
        </w:rPr>
        <w:t>    再来说说T细胞，在人体内T细胞从形态上看，与B细胞很相似，来源与B细胞一样，T细胞也产生于骨髓，并在其表面上具有类抗体样的分子，称为T细胞受体（TCR）。TCR也是通过组合设计的策略形成的。因此TCR也和BCR一样具有多样性。另外，T细胞也遵循克隆选择的原则，即当其受体分子与同源抗原结合时，会导致T细胞的增殖以形成一个具有抗原特异性的T细胞克隆。简单地说，</w:t>
      </w:r>
      <w:r>
        <w:rPr>
          <w:rFonts w:hint="eastAsia" w:ascii="楷体" w:hAnsi="楷体" w:eastAsia="楷体" w:cs="楷体"/>
          <w:color w:val="000000"/>
          <w:spacing w:val="5"/>
          <w:sz w:val="28"/>
          <w:szCs w:val="28"/>
        </w:rPr>
        <w:t>T细胞受体识别某种病原体（抗原），就会裂解该相同的病原体感染的细胞这就是“特异”。体液免疫细胞免疫结合起来也“特异”。</w:t>
      </w:r>
    </w:p>
    <w:p w14:paraId="64BD74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jc w:val="center"/>
      </w:pPr>
    </w:p>
    <w:p w14:paraId="6382B794">
      <w:r>
        <w:br w:type="page"/>
      </w:r>
      <w:r>
        <w:drawing>
          <wp:inline distT="0" distB="0" distL="114300" distR="114300">
            <wp:extent cx="5004435" cy="5988685"/>
            <wp:effectExtent l="0" t="0" r="9525" b="635"/>
            <wp:docPr id="100010" name="图片 100010"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promotion-pages"/>
                    <pic:cNvPicPr>
                      <a:picLocks noChangeAspect="1"/>
                    </pic:cNvPicPr>
                  </pic:nvPicPr>
                  <pic:blipFill>
                    <a:blip r:embed="rId7"/>
                    <a:stretch>
                      <a:fillRect/>
                    </a:stretch>
                  </pic:blipFill>
                  <pic:spPr>
                    <a:xfrm>
                      <a:off x="0" y="0"/>
                      <a:ext cx="5004435" cy="5989179"/>
                    </a:xfrm>
                    <a:prstGeom prst="rect">
                      <a:avLst/>
                    </a:prstGeom>
                  </pic:spPr>
                </pic:pic>
              </a:graphicData>
            </a:graphic>
          </wp:inline>
        </w:drawing>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NEU-BZ-S92">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901DD">
    <w:pPr>
      <w:tabs>
        <w:tab w:val="center" w:pos="4153"/>
        <w:tab w:val="right" w:pos="8306"/>
      </w:tabs>
      <w:snapToGrid w:val="0"/>
      <w:jc w:val="left"/>
      <w:rPr>
        <w:rFonts w:ascii="Times New Roman" w:hAnsi="Times New Roman" w:eastAsia="宋体"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eastAsia="宋体"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6569C">
    <w:pPr>
      <w:pBdr>
        <w:bottom w:val="none" w:color="auto" w:sz="0" w:space="1"/>
      </w:pBdr>
      <w:snapToGrid w:val="0"/>
      <w:rPr>
        <w:rFonts w:ascii="Times New Roman" w:hAnsi="Times New Roman" w:eastAsia="宋体"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JlMmFjYTg0MDIxMmQ1NjNiMGFhZDFmMmZjNmNkYmQifQ=="/>
  </w:docVars>
  <w:rsids>
    <w:rsidRoot w:val="15BE60DD"/>
    <w:rsid w:val="004151FC"/>
    <w:rsid w:val="00C02FC6"/>
    <w:rsid w:val="11F234AB"/>
    <w:rsid w:val="13091944"/>
    <w:rsid w:val="15BE60DD"/>
    <w:rsid w:val="2F5C2BDB"/>
    <w:rsid w:val="621F5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link w:val="9"/>
    <w:unhideWhenUsed/>
    <w:qFormat/>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8">
    <w:name w:val="页眉 Char"/>
    <w:link w:val="4"/>
    <w:semiHidden/>
    <w:qFormat/>
    <w:uiPriority w:val="99"/>
    <w:rPr>
      <w:sz w:val="18"/>
      <w:szCs w:val="18"/>
      <w:lang w:eastAsia="zh-CN"/>
    </w:rPr>
  </w:style>
  <w:style w:type="character" w:customStyle="1" w:styleId="9">
    <w:name w:val="页脚 Char"/>
    <w:link w:val="3"/>
    <w:semiHidden/>
    <w:qFormat/>
    <w:uiPriority w:val="99"/>
    <w:rPr>
      <w:sz w:val="18"/>
      <w:szCs w:val="18"/>
      <w:lang w:eastAsia="zh-CN"/>
    </w:rPr>
  </w:style>
  <w:style w:type="paragraph" w:customStyle="1" w:styleId="10">
    <w:name w:val="三级章节"/>
    <w:basedOn w:val="1"/>
    <w:qFormat/>
    <w:uiPriority w:val="0"/>
    <w:pPr>
      <w:outlineLvl w:val="3"/>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1270</Words>
  <Characters>1288</Characters>
  <Lines>0</Lines>
  <Paragraphs>0</Paragraphs>
  <TotalTime>0</TotalTime>
  <ScaleCrop>false</ScaleCrop>
  <LinksUpToDate>false</LinksUpToDate>
  <CharactersWithSpaces>1327</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2023-11-09T23:59:00Z</dcterms:created>
  <dc:creator>lenovo</dc:creator>
  <cp:lastModifiedBy>影1415238076</cp:lastModifiedBy>
  <dcterms:modified xsi:type="dcterms:W3CDTF">2026-05-19T09:47:32Z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eyJoZGlkIjoiZDcxOWJhYzNlYjIwY2IxYzViZjQ0OWM3NzZlNDcxNTkiLCJ1c2VySWQiOiIzMzU3NjUxMDAifQ==</vt:lpwstr>
  </property>
  <property fmtid="{D5CDD505-2E9C-101B-9397-08002B2CF9AE}" pid="7" name="KSOProductBuildVer">
    <vt:lpwstr>2052-12.1.0.18240</vt:lpwstr>
  </property>
  <property fmtid="{D5CDD505-2E9C-101B-9397-08002B2CF9AE}" pid="8" name="ICV">
    <vt:lpwstr>0D7AB45EACC84FFD9FBCAE70F221CCAA_12</vt:lpwstr>
  </property>
</Properties>
</file>