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6B778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1746C7DB"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前预习素材</w:t>
      </w:r>
    </w:p>
    <w:p w14:paraId="5FC4FB10">
      <w:pPr>
        <w:numPr>
          <w:ilvl w:val="0"/>
          <w:numId w:val="0"/>
        </w:numPr>
        <w:spacing w:line="276" w:lineRule="auto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第4章  人与环境</w:t>
      </w:r>
    </w:p>
    <w:p w14:paraId="46CE9F96">
      <w:pPr>
        <w:pStyle w:val="10"/>
        <w:spacing w:line="480" w:lineRule="exact"/>
        <w:jc w:val="center"/>
        <w:outlineLvl w:val="3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第3节  生态工程（第一部分）</w:t>
      </w:r>
    </w:p>
    <w:p w14:paraId="10F3D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240" w:firstLineChars="100"/>
        <w:jc w:val="center"/>
        <w:textAlignment w:val="center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  <w:lang w:val="en-US" w:eastAsia="zh-CN"/>
        </w:rPr>
      </w:pPr>
    </w:p>
    <w:p w14:paraId="5B1F15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bookmarkStart w:id="0" w:name="_GoBack"/>
      <w:bookmarkEnd w:id="0"/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一、 核心原理辨析与实例</w:t>
      </w:r>
    </w:p>
    <w:p w14:paraId="209B3B5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1. 自生原理</w:t>
      </w:r>
    </w:p>
    <w:p w14:paraId="499855B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核心内涵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：强调依靠生态系统的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生物组分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及其相互作用（种间关系、生态位差异），形成能够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自我组织、自我优化、自我调节、自我更新和维持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的有序整体。关键在于提升系统的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自组织能力和稳定性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70A2C27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判断关键词/视角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：生物多样性、合理布设、复合群落、互利共存、自我调节能力、生态系统结构与功能的协调。</w:t>
      </w:r>
    </w:p>
    <w:p w14:paraId="322083A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典型实例与辨析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</w:t>
      </w:r>
    </w:p>
    <w:p w14:paraId="6434A004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在人工林中增加植被层次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：通过增加物种多样性，构建复杂群落，提高林地的稳定性，体现了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自生原理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738A6E9E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单一人工林比天然混合林稳定性低，易爆发虫害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：违背了通过生物多样性维持系统稳定的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自生原理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73CED9FF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湿地修复中选择多种净化能力强、生态位不同的水生植物，并促进其互利共存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：有效选择并合理布设生物组分，以形成自组织系统，体现了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自生原理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7B0B6F5C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“前面造林，后面砍林”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：没有形成可以自我维持的系统，违背了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自生原理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（同时也违背了整体原理）。</w:t>
      </w:r>
    </w:p>
    <w:p w14:paraId="341807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2. 循环原理</w:t>
      </w:r>
    </w:p>
    <w:p w14:paraId="647C08E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核心内涵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：促进系统内的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物质迁移与转化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，实现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物质循环再生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，使前一环节的“废物”成为后一环节的原料，减少整个系统废弃物的产生。</w:t>
      </w:r>
    </w:p>
    <w:p w14:paraId="6CDA0A2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判断关键词/视角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：物质循环、废物利用、无废弃物、资源化、减少污染。</w:t>
      </w:r>
    </w:p>
    <w:p w14:paraId="7D10E7E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典型实例与辨析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</w:t>
      </w:r>
    </w:p>
    <w:p w14:paraId="20AB21A4">
      <w:pPr>
        <w:keepNext w:val="0"/>
        <w:keepLines w:val="0"/>
        <w:pageBreakBefore w:val="0"/>
        <w:widowControl/>
        <w:numPr>
          <w:ilvl w:val="1"/>
          <w:numId w:val="2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“无废弃物农业”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：（作物残留、人畜粪便还田）保证了土壤养分的循环利用，是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循环原理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的典范。</w:t>
      </w:r>
    </w:p>
    <w:p w14:paraId="64073FB4">
      <w:pPr>
        <w:keepNext w:val="0"/>
        <w:keepLines w:val="0"/>
        <w:pageBreakBefore w:val="0"/>
        <w:widowControl/>
        <w:numPr>
          <w:ilvl w:val="1"/>
          <w:numId w:val="2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桑基鱼塘中的“陆基种桑、桑叶饲蚕、蚕沙喂鱼、塘泥培桑”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：实现了物质在系统内的高效循环利用，体现了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循环原理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3670A3F3">
      <w:pPr>
        <w:keepNext w:val="0"/>
        <w:keepLines w:val="0"/>
        <w:pageBreakBefore w:val="0"/>
        <w:widowControl/>
        <w:numPr>
          <w:ilvl w:val="1"/>
          <w:numId w:val="2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以沼气工程为中心的生态农业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：将秸秆、粪便转化为沼气能源，沼渣沼液还田，体现了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循环原理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4B6D0AB6">
      <w:pPr>
        <w:keepNext w:val="0"/>
        <w:keepLines w:val="0"/>
        <w:pageBreakBefore w:val="0"/>
        <w:widowControl/>
        <w:numPr>
          <w:ilvl w:val="1"/>
          <w:numId w:val="2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依据循环原理，应该对垃圾进行焚烧处理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：（判断题）这是错误的。焚烧处理未实现物质的循环利用，反而可能造成污染，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违背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了循环原理。</w:t>
      </w:r>
    </w:p>
    <w:p w14:paraId="0108D3C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3. 协调原理</w:t>
      </w:r>
    </w:p>
    <w:p w14:paraId="3758C57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核心内涵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：关注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生物与环境、生物与生物之间的协调与适应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，需要考虑环境容纳量（承载力），确保生物数量不超过环境限度，防止系统失衡。</w:t>
      </w:r>
    </w:p>
    <w:p w14:paraId="65E399D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判断关键词/视角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：生物与环境的适应性（因地制宜）、环境容纳量、合理载畜量、引种适应、生物与生物的平衡。</w:t>
      </w:r>
    </w:p>
    <w:p w14:paraId="3D59A57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典型实例与辨析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</w:t>
      </w:r>
    </w:p>
    <w:p w14:paraId="0DB979D8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在西北干旱地区硬性规定种植需水多的杨树，导致“灰色长城”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：生物与当地环境不协调，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违背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协调原理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54D8304B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草原确定合理载畜量，禁止过度放牧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：使牲畜数量与环境承载力（草场恢复能力）相协调，体现了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协调原理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56CD1DF4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引种时（或湿地修复选用植物时）考虑物种是否适应当地环境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：体现了生物与环境的协调，属于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协调原理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05F2A54C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太湖水体富营养化引起水华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：污染物输入量超过了水体的环境容纳量和自净能力，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违背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协调原理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5119E2A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4. 整体原理</w:t>
      </w:r>
    </w:p>
    <w:p w14:paraId="54671E1F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核心内涵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：树立整体观，认识到生态工程是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社会—经济—自然复合系统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。不仅要遵循自然规律、优化系统内部结构，还必须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统筹考虑经济和社会因素（如成本、效益、政策、民生）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 的影响力。</w:t>
      </w:r>
    </w:p>
    <w:p w14:paraId="48D6295A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判断关键词/视角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：社会-经济-自然复合系统、综合效益、当前与长远、局部与整体、民生问题、政策法规。</w:t>
      </w:r>
    </w:p>
    <w:p w14:paraId="10701B00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典型实例与辨析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</w:t>
      </w:r>
    </w:p>
    <w:p w14:paraId="51D5D0DB">
      <w:pPr>
        <w:keepNext w:val="0"/>
        <w:keepLines w:val="0"/>
        <w:pageBreakBefore w:val="0"/>
        <w:widowControl/>
        <w:numPr>
          <w:ilvl w:val="1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在进行林业工程建设时，既号召农民种树，又考虑其粮食、收入等生活问题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：统筹了生态目标与农民的生计（社会经济因素），体现了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整体原理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1BA2E343">
      <w:pPr>
        <w:keepNext w:val="0"/>
        <w:keepLines w:val="0"/>
        <w:pageBreakBefore w:val="0"/>
        <w:widowControl/>
        <w:numPr>
          <w:ilvl w:val="1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园林既能改善生态环境（生态效益），又能提高社会和经济效益（如旅游）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：考虑了多重效益的统一，体现了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整体原理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0287FE7B">
      <w:pPr>
        <w:keepNext w:val="0"/>
        <w:keepLines w:val="0"/>
        <w:pageBreakBefore w:val="0"/>
        <w:widowControl/>
        <w:numPr>
          <w:ilvl w:val="1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“前面造林，后面砍林”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：只考虑了造林这个单一生态环节，未解决导致砍树的社会经济根源（如农民缺燃料、收入低），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违背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了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整体原理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57358D30">
      <w:pPr>
        <w:keepNext w:val="0"/>
        <w:keepLines w:val="0"/>
        <w:pageBreakBefore w:val="0"/>
        <w:widowControl/>
        <w:numPr>
          <w:ilvl w:val="1"/>
          <w:numId w:val="4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44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当桑叶价格高时，农民将蚕沙用作桑树肥料而非喂鱼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：体现了农民根据市场（经济因素）灵活调整生产策略，说明生态工程需考虑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整体原理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中的经济因素。</w:t>
      </w:r>
    </w:p>
    <w:p w14:paraId="6969438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二、 原理应用中的交叉性与辨析要点</w:t>
      </w:r>
    </w:p>
    <w:p w14:paraId="6032C9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一个复杂的生态工程往往同时体现多个原理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  <w:t>，关键是从哪个角度去观察。以经典案例“桑基鱼塘”为例进行综合辨析：</w:t>
      </w:r>
    </w:p>
    <w:tbl>
      <w:tblPr>
        <w:tblStyle w:val="5"/>
        <w:tblW w:w="0" w:type="auto"/>
        <w:tblCellSpacing w:w="15" w:type="dxa"/>
        <w:tblInd w:w="15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30"/>
        <w:gridCol w:w="1047"/>
        <w:gridCol w:w="2824"/>
      </w:tblGrid>
      <w:tr w14:paraId="52646A23"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0FDF4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82CD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5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0FDF4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1F4D7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5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0FDF4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292F8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5"/>
                <w:sz w:val="24"/>
                <w:szCs w:val="24"/>
              </w:rPr>
            </w:pPr>
          </w:p>
        </w:tc>
      </w:tr>
      <w:tr w14:paraId="2A4A3ADE"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2B62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工程环节/设计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5250E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体现的原理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3D12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辨析角度</w:t>
            </w:r>
          </w:p>
        </w:tc>
      </w:tr>
      <w:tr w14:paraId="4B8B6045"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8FAFC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71DF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生物组分通过合理布设（桑、蚕、鱼、微生物等），互利共存，形成稳定有序的整体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8FAFC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346DC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自生原理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8FAFC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22D18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系统结构与自我维持能力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的角度看。</w:t>
            </w:r>
          </w:p>
        </w:tc>
      </w:tr>
      <w:tr w14:paraId="639F6575"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6ED2E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“陆基种桑、桑叶饲蚕、蚕沙喂鱼、塘泥培桑”的物质流动模式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35E2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循环原理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0FBC2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物质迁移转化与废物资源化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的角度看。</w:t>
            </w:r>
          </w:p>
        </w:tc>
      </w:tr>
      <w:tr w14:paraId="1E6DAF21"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8FAFC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3C518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桑和甘蔗适应南方温暖湿润气候；四大家鱼混养利用了群落空间结构；养殖蚕的数量未危及桑树存活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8FAFC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2C7CE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协调原理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8FAFC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CDA8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生物与环境、生物与生物之间的适应与平衡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角度看。</w:t>
            </w:r>
          </w:p>
        </w:tc>
      </w:tr>
      <w:tr w14:paraId="674B5D09"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002E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考虑合适的陆基与水面比例（如三基七水）；发展多种经营为农民创收；是优化的“社会-经济-自然复合系统”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0BFCE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整体原理</w:t>
            </w:r>
          </w:p>
        </w:tc>
        <w:tc>
          <w:tcPr>
            <w:tcW w:w="0" w:type="auto"/>
            <w:tcBorders>
              <w:top w:val="single" w:color="E2E8F0" w:sz="6" w:space="0"/>
              <w:left w:val="single" w:color="E2E8F0" w:sz="6" w:space="0"/>
              <w:bottom w:val="single" w:color="E2E8F0" w:sz="6" w:space="0"/>
              <w:right w:val="single" w:color="E2E8F0" w:sz="6" w:space="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118C3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3"/>
                <w:kern w:val="0"/>
                <w:sz w:val="24"/>
                <w:szCs w:val="24"/>
                <w:lang w:val="en-US" w:eastAsia="zh-CN" w:bidi="ar"/>
              </w:rPr>
              <w:t>系统结构优化及综合生态、经济、社会效益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的角度看。</w:t>
            </w:r>
          </w:p>
        </w:tc>
      </w:tr>
    </w:tbl>
    <w:p w14:paraId="44968DC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总结辨析要点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  <w:t>：</w:t>
      </w:r>
    </w:p>
    <w:p w14:paraId="06EC0086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自生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：核心是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“生物自己搞定”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 ，关注系统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内部生物组分的关系和内在稳定性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4368ADC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循环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：核心是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“变废为宝，物质回用”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 ，关注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物质流动路径的闭合与效率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552339C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协调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：核心是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“量体裁衣，适者生存”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 ，关注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生物与内外环境的匹配度与平衡点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66130FD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720" w:hanging="360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整体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：核心是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“统筹全局，算总账”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 ，关注 </w:t>
      </w:r>
      <w:r>
        <w:rPr>
          <w:rStyle w:val="7"/>
          <w:rFonts w:hint="eastAsia" w:asciiTheme="majorEastAsia" w:hAnsiTheme="majorEastAsia" w:eastAsiaTheme="majorEastAsia" w:cstheme="majorEastAsia"/>
          <w:b w:val="0"/>
          <w:bCs/>
          <w:color w:val="auto"/>
          <w:spacing w:val="3"/>
          <w:sz w:val="24"/>
          <w:szCs w:val="24"/>
        </w:rPr>
        <w:t>自然规律与社会经济因素的综合考量与统一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  <w:t>。</w:t>
      </w:r>
    </w:p>
    <w:p w14:paraId="46D644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pacing w:val="8"/>
          <w:sz w:val="24"/>
          <w:szCs w:val="24"/>
        </w:rPr>
        <w:t>在具体实例判断时，应仔细分析题干信息强调的侧重点，对应上述核心内涵进行判断。</w:t>
      </w:r>
    </w:p>
    <w:p w14:paraId="19581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rPr>
          <w:rFonts w:hint="eastAsia" w:asciiTheme="majorEastAsia" w:hAnsiTheme="majorEastAsia" w:eastAsiaTheme="majorEastAsia" w:cstheme="majorEastAsia"/>
          <w:b w:val="0"/>
          <w:bCs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EC280"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4098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4099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ascii="Times New Roman" w:hAnsi="Times New Roman" w:eastAsia="宋体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2BEB3">
    <w:pPr>
      <w:pBdr>
        <w:bottom w:val="none" w:color="auto" w:sz="0" w:space="1"/>
      </w:pBdr>
      <w:snapToGrid w:val="0"/>
      <w:rPr>
        <w:rFonts w:ascii="Times New Roman" w:hAnsi="Times New Roman" w:eastAsia="宋体" w:cs="Times New Roman"/>
        <w:kern w:val="0"/>
        <w:sz w:val="2"/>
        <w:szCs w:val="2"/>
      </w:rPr>
    </w:pPr>
    <w:r>
      <w:pict>
        <v:shape id="图片 4" o:spid="_x0000_s4097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052C2F"/>
    <w:multiLevelType w:val="multilevel"/>
    <w:tmpl w:val="CE052C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E0447630"/>
    <w:multiLevelType w:val="multilevel"/>
    <w:tmpl w:val="E04476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02B95C37"/>
    <w:multiLevelType w:val="multilevel"/>
    <w:tmpl w:val="02B95C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192B0926"/>
    <w:multiLevelType w:val="multilevel"/>
    <w:tmpl w:val="192B092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30E25C5B"/>
    <w:multiLevelType w:val="multilevel"/>
    <w:tmpl w:val="30E25C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lMmFjYTg0MDIxMmQ1NjNiMGFhZDFmMmZjNmNkYmQifQ=="/>
  </w:docVars>
  <w:rsids>
    <w:rsidRoot w:val="00000000"/>
    <w:rsid w:val="004151FC"/>
    <w:rsid w:val="00C02FC6"/>
    <w:rsid w:val="29442501"/>
    <w:rsid w:val="40543AFF"/>
    <w:rsid w:val="41BF621F"/>
    <w:rsid w:val="5C6E1D2F"/>
    <w:rsid w:val="7393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link w:val="3"/>
    <w:semiHidden/>
    <w:qFormat/>
    <w:uiPriority w:val="99"/>
    <w:rPr>
      <w:sz w:val="18"/>
      <w:szCs w:val="18"/>
      <w:lang w:eastAsia="zh-CN"/>
    </w:rPr>
  </w:style>
  <w:style w:type="character" w:customStyle="1" w:styleId="9">
    <w:name w:val="页脚 Char"/>
    <w:link w:val="2"/>
    <w:semiHidden/>
    <w:uiPriority w:val="99"/>
    <w:rPr>
      <w:sz w:val="18"/>
      <w:szCs w:val="18"/>
      <w:lang w:eastAsia="zh-CN"/>
    </w:rPr>
  </w:style>
  <w:style w:type="paragraph" w:customStyle="1" w:styleId="10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1941</Words>
  <Characters>1950</Characters>
  <Lines>0</Lines>
  <Paragraphs>0</Paragraphs>
  <TotalTime>0</TotalTime>
  <ScaleCrop>false</ScaleCrop>
  <LinksUpToDate>false</LinksUpToDate>
  <CharactersWithSpaces>1969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2026-02-21T05:21:00Z</dcterms:created>
  <dc:creator>MQC</dc:creator>
  <cp:lastModifiedBy>影1415238076</cp:lastModifiedBy>
  <dcterms:modified xsi:type="dcterms:W3CDTF">2026-05-19T08:32:46Z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eyJoZGlkIjoiZTdlODIwZmQzNmQ5ZmQ3OTUwYjBmYjBlMjhjZTFkMDQiLCJ1c2VySWQiOiIxMjI2MTI0MjcyIn0=</vt:lpwstr>
  </property>
  <property fmtid="{D5CDD505-2E9C-101B-9397-08002B2CF9AE}" pid="7" name="KSOProductBuildVer">
    <vt:lpwstr>2052-12.1.0.18240</vt:lpwstr>
  </property>
  <property fmtid="{D5CDD505-2E9C-101B-9397-08002B2CF9AE}" pid="8" name="ICV">
    <vt:lpwstr>C83BD8D40FF748C79FD9E7ED84B12B12_13</vt:lpwstr>
  </property>
</Properties>
</file>