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D7F17">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2</w:t>
      </w:r>
      <w:r>
        <w:rPr>
          <w:rFonts w:hint="eastAsia" w:ascii="黑体" w:hAnsi="黑体" w:eastAsia="黑体"/>
          <w:sz w:val="36"/>
          <w:szCs w:val="36"/>
        </w:rPr>
        <w:t>课程资源库</w:t>
      </w:r>
    </w:p>
    <w:p w14:paraId="3B35CD36">
      <w:pPr>
        <w:spacing w:line="276" w:lineRule="auto"/>
        <w:jc w:val="center"/>
        <w:rPr>
          <w:rFonts w:hint="default" w:ascii="黑体" w:hAnsi="黑体" w:eastAsia="黑体"/>
          <w:sz w:val="36"/>
          <w:szCs w:val="36"/>
          <w:lang w:val="en-US" w:eastAsia="zh-CN"/>
        </w:rPr>
      </w:pPr>
      <w:r>
        <w:rPr>
          <w:rFonts w:hint="eastAsia" w:ascii="黑体" w:hAnsi="黑体" w:eastAsia="黑体"/>
          <w:sz w:val="36"/>
          <w:szCs w:val="36"/>
        </w:rPr>
        <w:t>——课</w:t>
      </w:r>
      <w:r>
        <w:rPr>
          <w:rFonts w:hint="eastAsia" w:ascii="黑体" w:hAnsi="黑体" w:eastAsia="黑体"/>
          <w:sz w:val="36"/>
          <w:szCs w:val="36"/>
          <w:lang w:val="en-US" w:eastAsia="zh-CN"/>
        </w:rPr>
        <w:t>前</w:t>
      </w:r>
      <w:bookmarkStart w:id="0" w:name="_GoBack"/>
      <w:r>
        <w:rPr>
          <w:rFonts w:hint="eastAsia" w:ascii="黑体" w:hAnsi="黑体" w:eastAsia="黑体"/>
          <w:sz w:val="36"/>
          <w:szCs w:val="36"/>
          <w:lang w:val="en-US" w:eastAsia="zh-CN"/>
        </w:rPr>
        <w:t>拓展资料</w:t>
      </w:r>
      <w:bookmarkEnd w:id="0"/>
    </w:p>
    <w:p w14:paraId="3AF910D7">
      <w:pPr>
        <w:numPr>
          <w:ilvl w:val="0"/>
          <w:numId w:val="0"/>
        </w:numPr>
        <w:spacing w:line="276"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第4章  人与环境</w:t>
      </w:r>
    </w:p>
    <w:p w14:paraId="333EDF99">
      <w:pPr>
        <w:pStyle w:val="12"/>
        <w:spacing w:line="480" w:lineRule="exact"/>
        <w:jc w:val="center"/>
        <w:outlineLvl w:val="3"/>
        <w:rPr>
          <w:rFonts w:hint="eastAsia" w:ascii="黑体" w:hAnsi="黑体" w:eastAsia="黑体" w:cs="黑体"/>
          <w:b w:val="0"/>
          <w:bCs w:val="0"/>
          <w:color w:val="000000"/>
          <w:sz w:val="28"/>
          <w:szCs w:val="28"/>
          <w:lang w:val="en-US" w:eastAsia="zh-CN" w:bidi="ar-SA"/>
        </w:rPr>
      </w:pPr>
      <w:r>
        <w:rPr>
          <w:rFonts w:hint="eastAsia" w:ascii="黑体" w:hAnsi="黑体" w:eastAsia="黑体" w:cs="黑体"/>
          <w:b w:val="0"/>
          <w:bCs w:val="0"/>
          <w:color w:val="000000"/>
          <w:sz w:val="28"/>
          <w:szCs w:val="28"/>
          <w:lang w:val="en-US" w:eastAsia="zh-CN" w:bidi="ar-SA"/>
        </w:rPr>
        <w:t>第1节  人类活动对生态环境的影响</w:t>
      </w:r>
    </w:p>
    <w:p w14:paraId="3FDFD2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rPr>
          <w:rFonts w:hint="eastAsia" w:ascii="宋体" w:hAnsi="宋体" w:eastAsia="宋体" w:cs="宋体"/>
          <w:i w:val="0"/>
          <w:iCs w:val="0"/>
          <w:caps w:val="0"/>
          <w:color w:val="000000"/>
          <w:spacing w:val="8"/>
          <w:sz w:val="24"/>
          <w:szCs w:val="24"/>
          <w:shd w:val="clear" w:color="auto" w:fill="FFFFFF"/>
        </w:rPr>
      </w:pPr>
    </w:p>
    <w:p w14:paraId="7CE56E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宋体" w:hAnsi="宋体" w:eastAsia="宋体" w:cs="宋体"/>
          <w:i w:val="0"/>
          <w:iCs w:val="0"/>
          <w:caps w:val="0"/>
          <w:color w:val="000000"/>
          <w:spacing w:val="8"/>
          <w:sz w:val="24"/>
          <w:szCs w:val="24"/>
        </w:rPr>
      </w:pPr>
      <w:r>
        <w:rPr>
          <w:rFonts w:hint="default" w:ascii="宋体" w:hAnsi="宋体" w:eastAsia="宋体" w:cs="宋体"/>
          <w:i w:val="0"/>
          <w:iCs w:val="0"/>
          <w:caps w:val="0"/>
          <w:color w:val="000000"/>
          <w:spacing w:val="8"/>
          <w:sz w:val="24"/>
          <w:szCs w:val="24"/>
          <w:shd w:val="clear" w:color="auto" w:fill="FFFFFF"/>
          <w:lang w:val="en-US"/>
        </w:rPr>
        <w:drawing>
          <wp:anchor distT="0" distB="0" distL="114300" distR="114300" simplePos="0" relativeHeight="251659264" behindDoc="0" locked="0" layoutInCell="1" allowOverlap="1">
            <wp:simplePos x="0" y="0"/>
            <wp:positionH relativeFrom="page">
              <wp:posOffset>10934700</wp:posOffset>
            </wp:positionH>
            <wp:positionV relativeFrom="topMargin">
              <wp:posOffset>10998200</wp:posOffset>
            </wp:positionV>
            <wp:extent cx="342900" cy="393700"/>
            <wp:effectExtent l="0" t="0" r="7620" b="2540"/>
            <wp:wrapNone/>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6"/>
                    <a:stretch>
                      <a:fillRect/>
                    </a:stretch>
                  </pic:blipFill>
                  <pic:spPr>
                    <a:xfrm>
                      <a:off x="0" y="0"/>
                      <a:ext cx="342900" cy="393700"/>
                    </a:xfrm>
                    <a:prstGeom prst="rect">
                      <a:avLst/>
                    </a:prstGeom>
                  </pic:spPr>
                </pic:pic>
              </a:graphicData>
            </a:graphic>
          </wp:anchor>
        </w:drawing>
      </w:r>
      <w:r>
        <w:rPr>
          <w:rFonts w:hint="eastAsia" w:cs="宋体"/>
          <w:i w:val="0"/>
          <w:iCs w:val="0"/>
          <w:caps w:val="0"/>
          <w:color w:val="000000"/>
          <w:spacing w:val="8"/>
          <w:sz w:val="24"/>
          <w:szCs w:val="24"/>
          <w:shd w:val="clear" w:color="auto" w:fill="FFFFFF"/>
          <w:lang w:val="en-US" w:eastAsia="zh-CN"/>
        </w:rPr>
        <w:t>一、</w:t>
      </w:r>
      <w:r>
        <w:rPr>
          <w:rFonts w:hint="eastAsia" w:ascii="宋体" w:hAnsi="宋体" w:eastAsia="宋体" w:cs="宋体"/>
          <w:i w:val="0"/>
          <w:iCs w:val="0"/>
          <w:caps w:val="0"/>
          <w:color w:val="000000"/>
          <w:spacing w:val="8"/>
          <w:sz w:val="24"/>
          <w:szCs w:val="24"/>
          <w:shd w:val="clear" w:color="auto" w:fill="FFFFFF"/>
        </w:rPr>
        <w:t>生态足迹</w:t>
      </w:r>
    </w:p>
    <w:p w14:paraId="344D479F">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000000"/>
          <w:sz w:val="24"/>
          <w:szCs w:val="24"/>
        </w:rPr>
      </w:pPr>
      <w:r>
        <w:rPr>
          <w:rStyle w:val="9"/>
          <w:rFonts w:hint="eastAsia" w:ascii="宋体" w:hAnsi="宋体" w:eastAsia="宋体" w:cs="宋体"/>
          <w:color w:val="000000"/>
          <w:sz w:val="24"/>
          <w:szCs w:val="24"/>
        </w:rPr>
        <w:t>生态足迹（Ecological Footprint, EF）</w:t>
      </w:r>
      <w:r>
        <w:rPr>
          <w:rFonts w:hint="eastAsia" w:ascii="宋体" w:hAnsi="宋体" w:eastAsia="宋体" w:cs="宋体"/>
          <w:color w:val="000000"/>
          <w:sz w:val="24"/>
          <w:szCs w:val="24"/>
        </w:rPr>
        <w:t>是衡量人类对地球可再生自然资源需求的工具，通过计算满足人类消费所需的生物生产性土地与水域的面积来表示，包括其中包括耕地、草地、建设用地、渔业用地及林地。即在现有的技术条件下，支持某一单位消费体正常运作，所需的具备生产能力消纳生态负荷的土地与水域。</w:t>
      </w:r>
    </w:p>
    <w:p w14:paraId="6A62690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pict>
          <v:shape id="_x0000_i1025" o:spt="75" alt="IMG_256" type="#_x0000_t75" style="height:391.6pt;width:328.9pt;" filled="f" o:preferrelative="t" stroked="f" coordsize="21600,21600">
            <v:path/>
            <v:fill on="f" focussize="0,0"/>
            <v:stroke on="f"/>
            <v:imagedata r:id="rId7" o:title="IMG_256"/>
            <o:lock v:ext="edit" aspectratio="t"/>
            <w10:wrap type="none"/>
            <w10:anchorlock/>
          </v:shape>
        </w:pict>
      </w:r>
    </w:p>
    <w:p w14:paraId="31C033C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比如说，一个人的粮食消费量可以转换为生产这些粮食的所需要的耕地面积，他所排放的二氧化碳总量可以转换成吸收这些二氧化碳所需要的森林、草地或农田的面积。因此它可以形象地被理解成一只负载着人类和人类所创造的城市、工厂、铁路等的巨脚踏在地球上时留下的脚印大小。</w:t>
      </w:r>
    </w:p>
    <w:p w14:paraId="0C086ED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生态足迹 &gt; 生物承载力</w:t>
      </w:r>
    </w:p>
    <w:p w14:paraId="6641611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生态赤字</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生态足迹的值越高，代表人类所需的资源越多，对生态和环境的影响就越严重。对比生态足迹与生物承载力（Ecological Carrying Capacity）即可追踪人类对生态圈的交互情况。事实上，自上世纪70年代起，全球都已进入了超载状态，且生态超载的程度愈演愈烈，即人类每年对地球的需求都超过了地球的可再生能力。</w:t>
      </w:r>
    </w:p>
    <w:p w14:paraId="30AC758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pict>
          <v:shape id="_x0000_i1026" o:spt="75" alt="IMG_258" type="#_x0000_t75" style="height:206.75pt;width:344.6pt;" filled="f" o:preferrelative="t" stroked="f" coordsize="21600,21600">
            <v:path/>
            <v:fill on="f" focussize="0,0"/>
            <v:stroke on="f"/>
            <v:imagedata r:id="rId8" o:title="IMG_258"/>
            <o:lock v:ext="edit" aspectratio="t"/>
            <w10:wrap type="none"/>
            <w10:anchorlock/>
          </v:shape>
        </w:pict>
      </w:r>
    </w:p>
    <w:p w14:paraId="241DDE9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2008年，全球生态足迹达182亿全球公顷，人均2.7全球公顷。同年，全球生物承载力为120亿全球公顷，人均1.8全球公顷。也就是说，2008年全球生态赤字率达50%，这意味着人类需要一个半地球才能生产其所利用的可再生资源和吸收其所排放的二氧化碳。</w:t>
      </w:r>
      <w:r>
        <w:rPr>
          <w:rFonts w:hint="eastAsia" w:ascii="宋体" w:hAnsi="宋体" w:eastAsia="宋体" w:cs="宋体"/>
          <w:color w:val="000000"/>
          <w:sz w:val="24"/>
          <w:szCs w:val="24"/>
        </w:rPr>
        <w:pict>
          <v:shape id="_x0000_i1027" o:spt="75" alt="IMG_259" type="#_x0000_t75" style="height:180.35pt;width:250.85pt;" filled="f" o:preferrelative="t" stroked="f" coordsize="21600,21600">
            <v:path/>
            <v:fill on="f" focussize="0,0"/>
            <v:stroke on="f"/>
            <v:imagedata r:id="rId9" o:title="IMG_259"/>
            <o:lock v:ext="edit" aspectratio="t"/>
            <w10:wrap type="none"/>
            <w10:anchorlock/>
          </v:shape>
        </w:pict>
      </w:r>
    </w:p>
    <w:p w14:paraId="242D416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地球超载日为此，全球足迹网络（GFN）提出了“地球超载日”，借指人类社会用完了当年份地球可再生自然资源总量，而开始入不敷出的年度指标。</w:t>
      </w:r>
    </w:p>
    <w:p w14:paraId="13B31FE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中国的生态足迹与全球趋势相似，中国的生态足迹在实现经济奇迹的同时，人均生态足迹也迅速增长。2010年中国人平均需要2.2全球公顷（gha）生产性土地，来满足环境商品与服务需求。同时，该年中国可用人均生态承载力仅约1.0gha。</w:t>
      </w:r>
    </w:p>
    <w:p w14:paraId="191CF21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pict>
          <v:shape id="_x0000_i1028" o:spt="75" alt="IMG_260" type="#_x0000_t75" style="height:212.1pt;width:359.1pt;" filled="f" o:preferrelative="t" stroked="f" coordsize="21600,21600">
            <v:path/>
            <v:fill on="f" focussize="0,0"/>
            <v:stroke on="f"/>
            <v:imagedata r:id="rId10" o:title="IMG_260"/>
            <o:lock v:ext="edit" aspectratio="t"/>
            <w10:wrap type="none"/>
            <w10:anchorlock/>
          </v:shape>
        </w:pict>
      </w:r>
    </w:p>
    <w:p w14:paraId="734E8C6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据全球足迹网络统计，中国生态足迹的增长，主要原因在碳足迹。随着经济的快速增长，中国的能源消耗大幅增加，这是被视为导致碳足迹增加的主要原因。直至2010年，中国碳足迹已经占总生态足迹的51%，而原先占首位的耕地足迹已退居次席，占总数的25%。</w:t>
      </w:r>
    </w:p>
    <w:p w14:paraId="580423F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pict>
          <v:shape id="_x0000_i1029" o:spt="75" alt="IMG_261" type="#_x0000_t75" style="height:145.85pt;width:294.45pt;" filled="f" o:preferrelative="t" stroked="f" coordsize="21600,21600">
            <v:path/>
            <v:fill on="f" focussize="0,0"/>
            <v:stroke on="f"/>
            <v:imagedata r:id="rId11" o:title="IMG_261"/>
            <o:lock v:ext="edit" aspectratio="t"/>
            <w10:wrap type="none"/>
            <w10:anchorlock/>
          </v:shape>
        </w:pict>
      </w:r>
    </w:p>
    <w:p w14:paraId="346B0C9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纵使现代科技增加了单位耕地产量，大幅提高了生物承载力。然而面对人口的增长及化学燃料等变化，增长的生物承载力却在飞速蹿升的生态足迹面前显得蹩脚。为此，我们需要多种更新的技术提高生物承载力，抑或降低生态足迹，以解决目前生态赤字的窘境。</w:t>
      </w:r>
    </w:p>
    <w:p w14:paraId="1C24F4B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rPr>
      </w:pPr>
    </w:p>
    <w:p w14:paraId="12B9ED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color w:val="000000"/>
          <w:sz w:val="24"/>
          <w:szCs w:val="24"/>
          <w:lang w:eastAsia="zh-CN"/>
        </w:rPr>
        <w:t>例、</w:t>
      </w:r>
      <w:r>
        <w:rPr>
          <w:rFonts w:hint="eastAsia" w:ascii="宋体" w:hAnsi="宋体" w:eastAsia="宋体" w:cs="宋体"/>
          <w:i w:val="0"/>
          <w:iCs w:val="0"/>
          <w:caps w:val="0"/>
          <w:color w:val="000000"/>
          <w:spacing w:val="0"/>
          <w:sz w:val="24"/>
          <w:szCs w:val="24"/>
          <w:shd w:val="clear" w:color="auto" w:fill="FFFFFF"/>
        </w:rPr>
        <w:t>生态足迹是指维持一个地区、国家的生存所需要的地域面积。生物承载力是指一个国家或地区具有提供可再生资源和吸收二氧化碳能力的土地面积的总和。当一个地区的生物承载力小于生态足迹时。出现生态赤字。读图回答下列问题。</w:t>
      </w:r>
    </w:p>
    <w:p w14:paraId="0F5940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color="auto" w:fill="FFFFFF"/>
        </w:rPr>
        <w:pict>
          <v:shape id="_x0000_i1030" o:spt="75" type="#_x0000_t75" style="height:201pt;width:437.25pt;" filled="f" o:preferrelative="t" stroked="f" coordsize="21600,21600">
            <v:path/>
            <v:fill on="f" focussize="0,0"/>
            <v:stroke on="f" joinstyle="miter"/>
            <v:imagedata r:id="rId12" o:title="IMG_256"/>
            <o:lock v:ext="edit" aspectratio="t"/>
            <w10:wrap type="none"/>
            <w10:anchorlock/>
          </v:shape>
        </w:pict>
      </w:r>
    </w:p>
    <w:p w14:paraId="6B1BCE7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color="auto" w:fill="FFFFFF"/>
        </w:rPr>
        <w:t>1.巴西生物承载力高于俄罗斯的原因主要是</w:t>
      </w:r>
    </w:p>
    <w:p w14:paraId="097BAC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color="auto" w:fill="FFFFFF"/>
        </w:rPr>
        <w:t>A．气候 B．国土面积</w:t>
      </w:r>
    </w:p>
    <w:p w14:paraId="6FD6AE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color="auto" w:fill="FFFFFF"/>
        </w:rPr>
        <w:t>C．土壤肥力 D．水资源数量</w:t>
      </w:r>
    </w:p>
    <w:p w14:paraId="448413F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color="auto" w:fill="FFFFFF"/>
        </w:rPr>
        <w:t>2.根据生态足迹和生物承载力表现，下列国家或地区生态赤字最为严重的是</w:t>
      </w:r>
    </w:p>
    <w:p w14:paraId="0D955A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color="auto" w:fill="FFFFFF"/>
        </w:rPr>
        <w:t>A．印度 B．中国 C．欧盟 D．俄罗斯</w:t>
      </w:r>
    </w:p>
    <w:p w14:paraId="1DDB3ED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答案：A  C</w:t>
      </w:r>
    </w:p>
    <w:p w14:paraId="7EC35453">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sz w:val="24"/>
          <w:szCs w:val="24"/>
        </w:rPr>
      </w:pPr>
    </w:p>
    <w:p w14:paraId="31E3389C">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val="0"/>
          <w:i w:val="0"/>
          <w:iCs w:val="0"/>
          <w:caps w:val="0"/>
          <w:color w:val="000000"/>
          <w:spacing w:val="0"/>
          <w:sz w:val="24"/>
          <w:szCs w:val="24"/>
          <w:shd w:val="clear" w:color="auto" w:fill="FFFFFF"/>
          <w:lang w:val="en-US" w:eastAsia="zh-CN"/>
        </w:rPr>
      </w:pPr>
      <w:r>
        <w:rPr>
          <w:rFonts w:hint="default" w:ascii="宋体" w:hAnsi="宋体" w:eastAsia="宋体" w:cs="宋体"/>
          <w:b w:val="0"/>
          <w:bCs w:val="0"/>
          <w:i w:val="0"/>
          <w:iCs w:val="0"/>
          <w:caps w:val="0"/>
          <w:color w:val="000000"/>
          <w:spacing w:val="0"/>
          <w:sz w:val="24"/>
          <w:szCs w:val="24"/>
          <w:shd w:val="clear" w:color="auto" w:fill="FFFFFF"/>
          <w:lang w:val="en-US"/>
        </w:rPr>
        <w:pict>
          <v:shape id="图片 100013" o:spid="_x0000_s1026" o:spt="75" type="#_x0000_t75" style="position:absolute;left:0pt;margin-left:889pt;margin-top:857pt;height:30pt;width:25pt;mso-position-horizontal-relative:page;mso-position-vertical-relative:page;z-index:251660288;mso-width-relative:page;mso-height-relative:page;" filled="f" o:preferrelative="t" stroked="f" coordsize="21600,21600">
            <v:path/>
            <v:fill on="f" focussize="0,0"/>
            <v:stroke on="f"/>
            <v:imagedata r:id="rId13" o:title=""/>
            <o:lock v:ext="edit" aspectratio="t"/>
          </v:shape>
        </w:pict>
      </w:r>
      <w:r>
        <w:rPr>
          <w:rFonts w:hint="eastAsia" w:ascii="宋体" w:hAnsi="宋体" w:cs="宋体"/>
          <w:b w:val="0"/>
          <w:bCs w:val="0"/>
          <w:i w:val="0"/>
          <w:iCs w:val="0"/>
          <w:caps w:val="0"/>
          <w:color w:val="000000"/>
          <w:spacing w:val="0"/>
          <w:sz w:val="24"/>
          <w:szCs w:val="24"/>
          <w:shd w:val="clear" w:color="auto" w:fill="FFFFFF"/>
          <w:lang w:val="en-US" w:eastAsia="zh-CN"/>
        </w:rPr>
        <w:t>二、</w:t>
      </w:r>
      <w:r>
        <w:rPr>
          <w:rFonts w:hint="eastAsia" w:ascii="宋体" w:hAnsi="宋体" w:eastAsia="宋体" w:cs="宋体"/>
          <w:b w:val="0"/>
          <w:bCs w:val="0"/>
          <w:i w:val="0"/>
          <w:iCs w:val="0"/>
          <w:caps w:val="0"/>
          <w:color w:val="000000"/>
          <w:spacing w:val="0"/>
          <w:sz w:val="24"/>
          <w:szCs w:val="24"/>
          <w:shd w:val="clear" w:color="auto" w:fill="FFFFFF"/>
        </w:rPr>
        <w:t>生态足迹</w:t>
      </w:r>
      <w:r>
        <w:rPr>
          <w:rFonts w:hint="eastAsia" w:ascii="宋体" w:hAnsi="宋体" w:eastAsia="宋体" w:cs="宋体"/>
          <w:b w:val="0"/>
          <w:bCs w:val="0"/>
          <w:i w:val="0"/>
          <w:iCs w:val="0"/>
          <w:caps w:val="0"/>
          <w:color w:val="000000"/>
          <w:spacing w:val="0"/>
          <w:sz w:val="24"/>
          <w:szCs w:val="24"/>
          <w:shd w:val="clear" w:color="auto" w:fill="FFFFFF"/>
          <w:lang w:val="en-US" w:eastAsia="zh-CN"/>
        </w:rPr>
        <w:t>及其分析法</w:t>
      </w:r>
    </w:p>
    <w:p w14:paraId="00D60B7E">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i w:val="0"/>
          <w:iCs w:val="0"/>
          <w:caps w:val="0"/>
          <w:color w:val="000000"/>
          <w:spacing w:val="0"/>
          <w:sz w:val="24"/>
          <w:szCs w:val="24"/>
          <w:shd w:val="clear" w:color="auto" w:fill="FFFFFF"/>
          <w:lang w:val="en-US" w:eastAsia="zh-CN"/>
        </w:rPr>
      </w:pPr>
    </w:p>
    <w:p w14:paraId="05C2AEE8">
      <w:pPr>
        <w:keepNext w:val="0"/>
        <w:keepLines w:val="0"/>
        <w:pageBreakBefore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b w:val="0"/>
          <w:bCs w:val="0"/>
          <w:i w:val="0"/>
          <w:iCs w:val="0"/>
          <w:caps w:val="0"/>
          <w:color w:val="000000"/>
          <w:spacing w:val="0"/>
          <w:sz w:val="24"/>
          <w:szCs w:val="24"/>
          <w:shd w:val="clear" w:color="auto" w:fill="FFFFFF"/>
          <w:lang w:val="en-US" w:eastAsia="zh-CN"/>
        </w:rPr>
      </w:pPr>
      <w:r>
        <w:rPr>
          <w:rFonts w:hint="eastAsia" w:ascii="宋体" w:hAnsi="宋体" w:eastAsia="宋体" w:cs="宋体"/>
          <w:b w:val="0"/>
          <w:bCs w:val="0"/>
          <w:i w:val="0"/>
          <w:iCs w:val="0"/>
          <w:caps w:val="0"/>
          <w:color w:val="000000"/>
          <w:spacing w:val="0"/>
          <w:sz w:val="24"/>
          <w:szCs w:val="24"/>
          <w:shd w:val="clear" w:color="auto" w:fill="FFFFFF"/>
          <w:lang w:val="en-US" w:eastAsia="zh-CN"/>
        </w:rPr>
        <w:t>2019版高中生物学选择性必修二提到了一个新的概念——“</w:t>
      </w:r>
      <w:r>
        <w:rPr>
          <w:rFonts w:hint="eastAsia" w:ascii="宋体" w:hAnsi="宋体" w:eastAsia="宋体" w:cs="宋体"/>
          <w:b w:val="0"/>
          <w:bCs w:val="0"/>
          <w:i w:val="0"/>
          <w:iCs w:val="0"/>
          <w:caps w:val="0"/>
          <w:color w:val="000000"/>
          <w:spacing w:val="0"/>
          <w:sz w:val="24"/>
          <w:szCs w:val="24"/>
          <w:shd w:val="clear" w:color="auto" w:fill="FFFFFF"/>
        </w:rPr>
        <w:t>生态足迹</w:t>
      </w:r>
      <w:r>
        <w:rPr>
          <w:rFonts w:hint="eastAsia" w:ascii="宋体" w:hAnsi="宋体" w:eastAsia="宋体" w:cs="宋体"/>
          <w:b w:val="0"/>
          <w:bCs w:val="0"/>
          <w:i w:val="0"/>
          <w:iCs w:val="0"/>
          <w:caps w:val="0"/>
          <w:color w:val="000000"/>
          <w:spacing w:val="0"/>
          <w:sz w:val="24"/>
          <w:szCs w:val="24"/>
          <w:shd w:val="clear" w:color="auto" w:fill="FFFFFF"/>
          <w:lang w:val="en-US" w:eastAsia="zh-CN"/>
        </w:rPr>
        <w:t>”：</w:t>
      </w:r>
    </w:p>
    <w:p w14:paraId="3AA2CC0F">
      <w:pPr>
        <w:keepNext w:val="0"/>
        <w:keepLines w:val="0"/>
        <w:pageBreakBefore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pict>
          <v:shape id="_x0000_i1031" o:spt="75" type="#_x0000_t75" style="height:188.25pt;width:287.75pt;" filled="f" o:preferrelative="t" stroked="f" coordsize="21600,21600">
            <v:path/>
            <v:fill on="f" focussize="0,0"/>
            <v:stroke on="f" joinstyle="miter"/>
            <v:imagedata r:id="rId14" o:title=""/>
            <o:lock v:ext="edit" aspectratio="t"/>
            <w10:wrap type="none"/>
            <w10:anchorlock/>
          </v:shape>
        </w:pict>
      </w:r>
      <w:r>
        <w:rPr>
          <w:rFonts w:hint="eastAsia" w:ascii="宋体" w:hAnsi="宋体" w:eastAsia="宋体" w:cs="宋体"/>
          <w:b w:val="0"/>
          <w:bCs w:val="0"/>
          <w:color w:val="000000"/>
          <w:sz w:val="24"/>
          <w:szCs w:val="24"/>
        </w:rPr>
        <w:pict>
          <v:shape id="_x0000_i1032" o:spt="75" type="#_x0000_t75" style="height:305.6pt;width:313.95pt;" filled="f" o:preferrelative="t" stroked="f" coordsize="21600,21600">
            <v:path/>
            <v:fill on="f" focussize="0,0"/>
            <v:stroke on="f" joinstyle="miter"/>
            <v:imagedata r:id="rId15" o:title=""/>
            <o:lock v:ext="edit" aspectratio="t"/>
            <w10:wrap type="none"/>
            <w10:anchorlock/>
          </v:shape>
        </w:pict>
      </w:r>
      <w:r>
        <w:rPr>
          <w:rFonts w:hint="eastAsia" w:ascii="宋体" w:hAnsi="宋体" w:eastAsia="宋体" w:cs="宋体"/>
          <w:b w:val="0"/>
          <w:bCs w:val="0"/>
          <w:color w:val="000000"/>
          <w:sz w:val="24"/>
          <w:szCs w:val="24"/>
        </w:rPr>
        <w:pict>
          <v:shape id="_x0000_i1033" o:spt="75" type="#_x0000_t75" style="height:67.15pt;width:346.6pt;" filled="f" o:preferrelative="t" stroked="f" coordsize="21600,21600">
            <v:path/>
            <v:fill on="f" focussize="0,0"/>
            <v:stroke on="f" joinstyle="miter"/>
            <v:imagedata r:id="rId16" o:title=""/>
            <o:lock v:ext="edit" aspectratio="t"/>
            <w10:wrap type="none"/>
            <w10:anchorlock/>
          </v:shape>
        </w:pict>
      </w:r>
    </w:p>
    <w:p w14:paraId="06C2EF05">
      <w:pPr>
        <w:keepNext w:val="0"/>
        <w:keepLines w:val="0"/>
        <w:pageBreakBefore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b w:val="0"/>
          <w:bCs w:val="0"/>
          <w:i w:val="0"/>
          <w:iCs w:val="0"/>
          <w:caps w:val="0"/>
          <w:color w:val="000000"/>
          <w:spacing w:val="0"/>
          <w:sz w:val="24"/>
          <w:szCs w:val="24"/>
          <w:shd w:val="clear" w:color="auto" w:fill="FFFFFF"/>
          <w:lang w:val="en-US" w:eastAsia="zh-CN"/>
        </w:rPr>
      </w:pPr>
      <w:r>
        <w:rPr>
          <w:rFonts w:hint="eastAsia" w:ascii="宋体" w:hAnsi="宋体" w:eastAsia="宋体" w:cs="宋体"/>
          <w:b w:val="0"/>
          <w:bCs w:val="0"/>
          <w:color w:val="000000"/>
          <w:sz w:val="24"/>
          <w:szCs w:val="24"/>
          <w:lang w:val="en-US" w:eastAsia="zh-CN"/>
        </w:rPr>
        <w:t>那么，什么是</w:t>
      </w:r>
      <w:r>
        <w:rPr>
          <w:rFonts w:hint="eastAsia" w:ascii="宋体" w:hAnsi="宋体" w:eastAsia="宋体" w:cs="宋体"/>
          <w:b w:val="0"/>
          <w:bCs w:val="0"/>
          <w:i w:val="0"/>
          <w:iCs w:val="0"/>
          <w:caps w:val="0"/>
          <w:color w:val="000000"/>
          <w:spacing w:val="0"/>
          <w:sz w:val="24"/>
          <w:szCs w:val="24"/>
          <w:shd w:val="clear" w:color="auto" w:fill="FFFFFF"/>
        </w:rPr>
        <w:t>生态足迹</w:t>
      </w:r>
      <w:r>
        <w:rPr>
          <w:rFonts w:hint="eastAsia" w:ascii="宋体" w:hAnsi="宋体" w:eastAsia="宋体" w:cs="宋体"/>
          <w:b w:val="0"/>
          <w:bCs w:val="0"/>
          <w:i w:val="0"/>
          <w:iCs w:val="0"/>
          <w:caps w:val="0"/>
          <w:color w:val="000000"/>
          <w:spacing w:val="0"/>
          <w:sz w:val="24"/>
          <w:szCs w:val="24"/>
          <w:shd w:val="clear" w:color="auto" w:fill="FFFFFF"/>
          <w:lang w:eastAsia="zh-CN"/>
        </w:rPr>
        <w:t>？</w:t>
      </w:r>
      <w:r>
        <w:rPr>
          <w:rFonts w:hint="eastAsia" w:ascii="宋体" w:hAnsi="宋体" w:eastAsia="宋体" w:cs="宋体"/>
          <w:b w:val="0"/>
          <w:bCs w:val="0"/>
          <w:i w:val="0"/>
          <w:iCs w:val="0"/>
          <w:caps w:val="0"/>
          <w:color w:val="000000"/>
          <w:spacing w:val="0"/>
          <w:sz w:val="24"/>
          <w:szCs w:val="24"/>
          <w:shd w:val="clear" w:color="auto" w:fill="FFFFFF"/>
          <w:lang w:val="en-US" w:eastAsia="zh-CN"/>
        </w:rPr>
        <w:t>如何应用</w:t>
      </w:r>
      <w:r>
        <w:rPr>
          <w:rFonts w:hint="eastAsia" w:ascii="宋体" w:hAnsi="宋体" w:eastAsia="宋体" w:cs="宋体"/>
          <w:b w:val="0"/>
          <w:bCs w:val="0"/>
          <w:i w:val="0"/>
          <w:iCs w:val="0"/>
          <w:caps w:val="0"/>
          <w:color w:val="000000"/>
          <w:spacing w:val="0"/>
          <w:sz w:val="24"/>
          <w:szCs w:val="24"/>
          <w:shd w:val="clear" w:color="auto" w:fill="FFFFFF"/>
        </w:rPr>
        <w:t>生态足迹</w:t>
      </w:r>
      <w:r>
        <w:rPr>
          <w:rFonts w:hint="eastAsia" w:ascii="宋体" w:hAnsi="宋体" w:eastAsia="宋体" w:cs="宋体"/>
          <w:b w:val="0"/>
          <w:bCs w:val="0"/>
          <w:i w:val="0"/>
          <w:iCs w:val="0"/>
          <w:caps w:val="0"/>
          <w:color w:val="000000"/>
          <w:spacing w:val="0"/>
          <w:sz w:val="24"/>
          <w:szCs w:val="24"/>
          <w:shd w:val="clear" w:color="auto" w:fill="FFFFFF"/>
          <w:lang w:val="en-US" w:eastAsia="zh-CN"/>
        </w:rPr>
        <w:t>进行分析？</w:t>
      </w:r>
    </w:p>
    <w:p w14:paraId="385F337D">
      <w:pPr>
        <w:keepNext w:val="0"/>
        <w:keepLines w:val="0"/>
        <w:pageBreakBefore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b w:val="0"/>
          <w:bCs w:val="0"/>
          <w:i w:val="0"/>
          <w:iCs w:val="0"/>
          <w:caps w:val="0"/>
          <w:color w:val="000000"/>
          <w:spacing w:val="0"/>
          <w:sz w:val="24"/>
          <w:szCs w:val="24"/>
          <w:shd w:val="clear" w:color="auto" w:fill="FFFFFF"/>
          <w:lang w:val="en-US" w:eastAsia="zh-CN"/>
        </w:rPr>
      </w:pPr>
    </w:p>
    <w:p w14:paraId="55BC5BBE">
      <w:pPr>
        <w:keepNext w:val="0"/>
        <w:keepLines w:val="0"/>
        <w:pageBreakBefore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生态足迹（英文：Ecological footprint,EF）就是能够持续地提供资源或消纳废物的、具有</w:t>
      </w:r>
      <w:r>
        <w:rPr>
          <w:rFonts w:hint="eastAsia" w:ascii="宋体" w:hAnsi="宋体" w:eastAsia="宋体" w:cs="宋体"/>
          <w:b w:val="0"/>
          <w:bCs w:val="0"/>
          <w:i w:val="0"/>
          <w:iCs w:val="0"/>
          <w:caps w:val="0"/>
          <w:color w:val="000000"/>
          <w:spacing w:val="0"/>
          <w:sz w:val="24"/>
          <w:szCs w:val="24"/>
          <w:u w:val="none"/>
          <w:shd w:val="clear" w:color="auto" w:fill="FFFFFF"/>
        </w:rPr>
        <w:t>生物生产力</w:t>
      </w:r>
      <w:r>
        <w:rPr>
          <w:rFonts w:hint="eastAsia" w:ascii="宋体" w:hAnsi="宋体" w:eastAsia="宋体" w:cs="宋体"/>
          <w:b w:val="0"/>
          <w:bCs w:val="0"/>
          <w:i w:val="0"/>
          <w:iCs w:val="0"/>
          <w:caps w:val="0"/>
          <w:color w:val="000000"/>
          <w:spacing w:val="0"/>
          <w:sz w:val="24"/>
          <w:szCs w:val="24"/>
          <w:shd w:val="clear" w:color="auto" w:fill="FFFFFF"/>
        </w:rPr>
        <w:t>的地域空间（biologically productive areas），其含义就是要维持一个人、地区、国家的生存所需要的或者指能够容纳人类所排放的废物的、具有生物生产力的地域面积。生态足迹估计要承载一定生活质量的人口，需要多大的可供人类使用的可再生资源或者能够消纳废物的</w:t>
      </w:r>
      <w:r>
        <w:rPr>
          <w:rFonts w:hint="eastAsia" w:ascii="宋体" w:hAnsi="宋体" w:eastAsia="宋体" w:cs="宋体"/>
          <w:b w:val="0"/>
          <w:bCs w:val="0"/>
          <w:i w:val="0"/>
          <w:iCs w:val="0"/>
          <w:caps w:val="0"/>
          <w:color w:val="000000"/>
          <w:spacing w:val="0"/>
          <w:sz w:val="24"/>
          <w:szCs w:val="24"/>
          <w:u w:val="none"/>
          <w:shd w:val="clear" w:color="auto" w:fill="FFFFFF"/>
        </w:rPr>
        <w:t>生态系统</w:t>
      </w:r>
      <w:r>
        <w:rPr>
          <w:rFonts w:hint="eastAsia" w:ascii="宋体" w:hAnsi="宋体" w:eastAsia="宋体" w:cs="宋体"/>
          <w:b w:val="0"/>
          <w:bCs w:val="0"/>
          <w:i w:val="0"/>
          <w:iCs w:val="0"/>
          <w:caps w:val="0"/>
          <w:color w:val="000000"/>
          <w:spacing w:val="0"/>
          <w:sz w:val="24"/>
          <w:szCs w:val="24"/>
          <w:shd w:val="clear" w:color="auto" w:fill="FFFFFF"/>
        </w:rPr>
        <w:t>，又称之为“适当的承载力”（appropriated carrying capacity）。</w:t>
      </w:r>
    </w:p>
    <w:p w14:paraId="1E33DB5E">
      <w:pPr>
        <w:keepNext w:val="0"/>
        <w:keepLines w:val="0"/>
        <w:pageBreakBefore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lang w:val="en-US" w:eastAsia="zh-CN"/>
        </w:rPr>
        <w:t>其</w:t>
      </w:r>
      <w:r>
        <w:rPr>
          <w:rFonts w:hint="eastAsia" w:ascii="宋体" w:hAnsi="宋体" w:eastAsia="宋体" w:cs="宋体"/>
          <w:b w:val="0"/>
          <w:bCs w:val="0"/>
          <w:i w:val="0"/>
          <w:iCs w:val="0"/>
          <w:caps w:val="0"/>
          <w:color w:val="000000"/>
          <w:spacing w:val="0"/>
          <w:sz w:val="24"/>
          <w:szCs w:val="24"/>
          <w:shd w:val="clear" w:color="auto" w:fill="FFFFFF"/>
        </w:rPr>
        <w:t>应用意义是：通过生态足迹需求与自然生态系统的承载力(亦称生态足迹供给) 进行比较即可以定量的判断某一国家或地区可持续发展的状态，以便对未来人类生存和社会经济发展做出科学规划和建议。</w:t>
      </w:r>
    </w:p>
    <w:p w14:paraId="6D446CE7">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在20世纪90年代初由加拿大大不列颠哥伦比亚大学规划与</w:t>
      </w:r>
      <w:r>
        <w:rPr>
          <w:rFonts w:hint="eastAsia" w:ascii="宋体" w:hAnsi="宋体" w:eastAsia="宋体" w:cs="宋体"/>
          <w:b w:val="0"/>
          <w:bCs w:val="0"/>
          <w:i w:val="0"/>
          <w:iCs w:val="0"/>
          <w:caps w:val="0"/>
          <w:color w:val="000000"/>
          <w:spacing w:val="0"/>
          <w:sz w:val="24"/>
          <w:szCs w:val="24"/>
          <w:u w:val="none"/>
          <w:shd w:val="clear" w:color="auto" w:fill="FFFFFF"/>
        </w:rPr>
        <w:t>资源生态学</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教授</w:t>
      </w:r>
      <w:r>
        <w:rPr>
          <w:rFonts w:hint="eastAsia" w:ascii="宋体" w:hAnsi="宋体" w:eastAsia="宋体" w:cs="宋体"/>
          <w:b w:val="0"/>
          <w:bCs w:val="0"/>
          <w:i w:val="0"/>
          <w:iCs w:val="0"/>
          <w:caps w:val="0"/>
          <w:color w:val="000000"/>
          <w:spacing w:val="0"/>
          <w:sz w:val="24"/>
          <w:szCs w:val="24"/>
          <w:u w:val="none"/>
          <w:shd w:val="clear" w:color="auto" w:fill="FFFFFF"/>
        </w:rPr>
        <w:t>里斯</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（Willian E.Rees）提出。它显示在现有技术条件下，指定的人口单位内（一个人、一个城市、一个国家或全人类）需要多少具备</w:t>
      </w:r>
      <w:r>
        <w:rPr>
          <w:rFonts w:hint="eastAsia" w:ascii="宋体" w:hAnsi="宋体" w:eastAsia="宋体" w:cs="宋体"/>
          <w:b w:val="0"/>
          <w:bCs w:val="0"/>
          <w:i w:val="0"/>
          <w:iCs w:val="0"/>
          <w:caps w:val="0"/>
          <w:color w:val="000000"/>
          <w:spacing w:val="0"/>
          <w:sz w:val="24"/>
          <w:szCs w:val="24"/>
          <w:u w:val="none"/>
          <w:shd w:val="clear" w:color="auto" w:fill="FFFFFF"/>
        </w:rPr>
        <w:t>生物生产力</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的土地（biological productive land）和水域，来生产所需资源和吸纳所衍生的废物。生态足迹通过测定现今人类为了维持自身生存而利用自然的量来评估人类对</w:t>
      </w:r>
      <w:r>
        <w:rPr>
          <w:rFonts w:hint="eastAsia" w:ascii="宋体" w:hAnsi="宋体" w:eastAsia="宋体" w:cs="宋体"/>
          <w:b w:val="0"/>
          <w:bCs w:val="0"/>
          <w:i w:val="0"/>
          <w:iCs w:val="0"/>
          <w:caps w:val="0"/>
          <w:color w:val="000000"/>
          <w:spacing w:val="0"/>
          <w:sz w:val="24"/>
          <w:szCs w:val="24"/>
          <w:u w:val="none"/>
          <w:shd w:val="clear" w:color="auto" w:fill="FFFFFF"/>
        </w:rPr>
        <w:t>生态系统</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的影响。</w:t>
      </w:r>
    </w:p>
    <w:p w14:paraId="41F97E9C">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比如说一个人的粮食消费量可以转换为生产这些粮食的所需要的耕地面积，他所排放的</w:t>
      </w:r>
      <w:r>
        <w:rPr>
          <w:rFonts w:hint="eastAsia" w:ascii="宋体" w:hAnsi="宋体" w:eastAsia="宋体" w:cs="宋体"/>
          <w:b w:val="0"/>
          <w:bCs w:val="0"/>
          <w:i w:val="0"/>
          <w:iCs w:val="0"/>
          <w:caps w:val="0"/>
          <w:color w:val="000000"/>
          <w:spacing w:val="0"/>
          <w:sz w:val="24"/>
          <w:szCs w:val="24"/>
          <w:u w:val="none"/>
          <w:shd w:val="clear" w:color="auto" w:fill="FFFFFF"/>
        </w:rPr>
        <w:t>二氧化碳</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总量可以转换成吸收这些CO2所需要的森林、草地或农田的面积。因此它可以形象地被理解成一只负载着人类和人类所创造的城市、工厂、铁路、农田……的巨脚踏在地球上时留下的脚印大小。它的值越高，人类对生态的破坏就越严重。</w:t>
      </w:r>
    </w:p>
    <w:p w14:paraId="7D8AB8A3">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该指标的提出为核算某地区、国家和全球</w:t>
      </w:r>
      <w:r>
        <w:rPr>
          <w:rFonts w:hint="eastAsia" w:ascii="宋体" w:hAnsi="宋体" w:eastAsia="宋体" w:cs="宋体"/>
          <w:b w:val="0"/>
          <w:bCs w:val="0"/>
          <w:i w:val="0"/>
          <w:iCs w:val="0"/>
          <w:caps w:val="0"/>
          <w:color w:val="000000"/>
          <w:spacing w:val="0"/>
          <w:sz w:val="24"/>
          <w:szCs w:val="24"/>
          <w:u w:val="none"/>
          <w:shd w:val="clear" w:color="auto" w:fill="FFFFFF"/>
        </w:rPr>
        <w:t>自然资本</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利用状况提供了简明框架，通过测量人类对自然生态服务的需求与自然所能提供的生态服务之间的差距，就可以知道人类对生态系统的利用状况，可以在地区、国家和全球尺度上比较人类对自然的消费量与自然资本的承载量。生态足迹的意义在于探讨人类持续依赖自然以及要怎么做才能保障地球的承受力，进而支持人类未来的生存。</w:t>
      </w:r>
    </w:p>
    <w:p w14:paraId="149B320A">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生态足迹将每个人消耗的资源折合成为全球统一的、具有生产力的地域面积，通过计算区域生态足迹总供给与总需求之间的差值——生态赤字或生态盈余，准确地反映了不同区域对于</w:t>
      </w:r>
      <w:r>
        <w:rPr>
          <w:rFonts w:hint="eastAsia" w:ascii="宋体" w:hAnsi="宋体" w:eastAsia="宋体" w:cs="宋体"/>
          <w:b w:val="0"/>
          <w:bCs w:val="0"/>
          <w:i w:val="0"/>
          <w:iCs w:val="0"/>
          <w:caps w:val="0"/>
          <w:color w:val="000000"/>
          <w:spacing w:val="0"/>
          <w:sz w:val="24"/>
          <w:szCs w:val="24"/>
          <w:u w:val="none"/>
          <w:shd w:val="clear" w:color="auto" w:fill="FFFFFF"/>
        </w:rPr>
        <w:t>全球生态环境</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现状的贡献。生态足迹既能够反映出个人或地区的资源消耗强度，又能够反映出区域的资源供给能力和资源消耗总量，也揭示了人类生存持续生存的</w:t>
      </w:r>
      <w:r>
        <w:rPr>
          <w:rFonts w:hint="eastAsia" w:ascii="宋体" w:hAnsi="宋体" w:eastAsia="宋体" w:cs="宋体"/>
          <w:b w:val="0"/>
          <w:bCs w:val="0"/>
          <w:i w:val="0"/>
          <w:iCs w:val="0"/>
          <w:caps w:val="0"/>
          <w:color w:val="000000"/>
          <w:spacing w:val="0"/>
          <w:sz w:val="24"/>
          <w:szCs w:val="24"/>
          <w:u w:val="none"/>
          <w:shd w:val="clear" w:color="auto" w:fill="FFFFFF"/>
        </w:rPr>
        <w:t>生态阈值</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。它通过相同的单位比较人类的需求和自然界的供给，使可持续发展的衡量真正具有区域可比性，评估的结果清楚地表明在所分析的每一个时空尺度上，人类对</w:t>
      </w:r>
      <w:r>
        <w:rPr>
          <w:rFonts w:hint="eastAsia" w:ascii="宋体" w:hAnsi="宋体" w:eastAsia="宋体" w:cs="宋体"/>
          <w:b w:val="0"/>
          <w:bCs w:val="0"/>
          <w:i w:val="0"/>
          <w:iCs w:val="0"/>
          <w:caps w:val="0"/>
          <w:color w:val="000000"/>
          <w:spacing w:val="0"/>
          <w:sz w:val="24"/>
          <w:szCs w:val="24"/>
          <w:u w:val="none"/>
          <w:shd w:val="clear" w:color="auto" w:fill="FFFFFF"/>
        </w:rPr>
        <w:t>生物圈</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所施加的加压及其量级，因为生态足迹取决于</w:t>
      </w:r>
      <w:r>
        <w:rPr>
          <w:rFonts w:hint="eastAsia" w:ascii="宋体" w:hAnsi="宋体" w:eastAsia="宋体" w:cs="宋体"/>
          <w:b w:val="0"/>
          <w:bCs w:val="0"/>
          <w:i w:val="0"/>
          <w:iCs w:val="0"/>
          <w:caps w:val="0"/>
          <w:color w:val="000000"/>
          <w:spacing w:val="0"/>
          <w:sz w:val="24"/>
          <w:szCs w:val="24"/>
          <w:u w:val="none"/>
          <w:shd w:val="clear" w:color="auto" w:fill="FFFFFF"/>
        </w:rPr>
        <w:t>人口规模</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、物质生活水平、技术条件和</w:t>
      </w:r>
      <w:r>
        <w:rPr>
          <w:rFonts w:hint="eastAsia" w:ascii="宋体" w:hAnsi="宋体" w:eastAsia="宋体" w:cs="宋体"/>
          <w:b w:val="0"/>
          <w:bCs w:val="0"/>
          <w:i w:val="0"/>
          <w:iCs w:val="0"/>
          <w:caps w:val="0"/>
          <w:color w:val="000000"/>
          <w:spacing w:val="0"/>
          <w:sz w:val="24"/>
          <w:szCs w:val="24"/>
          <w:u w:val="none"/>
          <w:shd w:val="clear" w:color="auto" w:fill="FFFFFF"/>
        </w:rPr>
        <w:t>生态生产力</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w:t>
      </w:r>
    </w:p>
    <w:p w14:paraId="1936B249">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生态足迹的计算是基于两个简单的事实：</w:t>
      </w:r>
    </w:p>
    <w:p w14:paraId="390255EB">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1、我们可以保留大部分消费的资源以及大部分产生的</w:t>
      </w:r>
      <w:r>
        <w:rPr>
          <w:rFonts w:hint="eastAsia" w:ascii="宋体" w:hAnsi="宋体" w:eastAsia="宋体" w:cs="宋体"/>
          <w:b w:val="0"/>
          <w:bCs w:val="0"/>
          <w:i w:val="0"/>
          <w:iCs w:val="0"/>
          <w:caps w:val="0"/>
          <w:color w:val="000000"/>
          <w:spacing w:val="0"/>
          <w:sz w:val="24"/>
          <w:szCs w:val="24"/>
          <w:u w:val="none"/>
          <w:shd w:val="clear" w:color="auto" w:fill="FFFFFF"/>
        </w:rPr>
        <w:t>废弃物</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w:t>
      </w:r>
    </w:p>
    <w:p w14:paraId="0D53A83D">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2、这些资源以及废弃物大部分都可以转换成可提供这些功能的</w:t>
      </w:r>
      <w:r>
        <w:rPr>
          <w:rFonts w:hint="eastAsia" w:ascii="宋体" w:hAnsi="宋体" w:eastAsia="宋体" w:cs="宋体"/>
          <w:b w:val="0"/>
          <w:bCs w:val="0"/>
          <w:i w:val="0"/>
          <w:iCs w:val="0"/>
          <w:caps w:val="0"/>
          <w:color w:val="000000"/>
          <w:spacing w:val="0"/>
          <w:sz w:val="24"/>
          <w:szCs w:val="24"/>
          <w:u w:val="none"/>
          <w:shd w:val="clear" w:color="auto" w:fill="FFFFFF"/>
        </w:rPr>
        <w:t>生物生产性土地</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生态足迹的计算方式明确地指出某个国家或地区使用了多少自然资源，然而，这些足迹并不是一片连续的土地；由于国际贸易的关系，人们使用的土地与水域面积分散在全球各个角落，这些需要很多研究来决定其确定的位置。</w:t>
      </w:r>
    </w:p>
    <w:p w14:paraId="2F515451">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生物生产面积类型及其均衡化处理</w:t>
      </w:r>
    </w:p>
    <w:p w14:paraId="420BC774">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在生态足迹计算中，各种资源和能源消费项目被折算为耕地、草场、林地、建筑用地、化石能源土地和海洋（水域）等6种生物生产面积类型。耕地是最有生产能力的</w:t>
      </w:r>
      <w:r>
        <w:rPr>
          <w:rFonts w:hint="eastAsia" w:ascii="宋体" w:hAnsi="宋体" w:eastAsia="宋体" w:cs="宋体"/>
          <w:b w:val="0"/>
          <w:bCs w:val="0"/>
          <w:i w:val="0"/>
          <w:iCs w:val="0"/>
          <w:caps w:val="0"/>
          <w:color w:val="000000"/>
          <w:spacing w:val="0"/>
          <w:sz w:val="24"/>
          <w:szCs w:val="24"/>
          <w:u w:val="none"/>
          <w:shd w:val="clear" w:color="auto" w:fill="FFFFFF"/>
        </w:rPr>
        <w:t>土地类型</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，提供了人类所利用的大部分</w:t>
      </w:r>
      <w:r>
        <w:rPr>
          <w:rFonts w:hint="eastAsia" w:ascii="宋体" w:hAnsi="宋体" w:eastAsia="宋体" w:cs="宋体"/>
          <w:b w:val="0"/>
          <w:bCs w:val="0"/>
          <w:i w:val="0"/>
          <w:iCs w:val="0"/>
          <w:caps w:val="0"/>
          <w:color w:val="000000"/>
          <w:spacing w:val="0"/>
          <w:sz w:val="24"/>
          <w:szCs w:val="24"/>
          <w:u w:val="none"/>
          <w:shd w:val="clear" w:color="auto" w:fill="FFFFFF"/>
        </w:rPr>
        <w:t>生物量</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。草场的生产能力比耕地要低得多。由于人类对森林资源的过度开发，全世界除了一些不能接近的热带丛林外，现有林地的生产能力大多较低。</w:t>
      </w:r>
      <w:r>
        <w:rPr>
          <w:rFonts w:hint="eastAsia" w:ascii="宋体" w:hAnsi="宋体" w:eastAsia="宋体" w:cs="宋体"/>
          <w:b w:val="0"/>
          <w:bCs w:val="0"/>
          <w:i w:val="0"/>
          <w:iCs w:val="0"/>
          <w:caps w:val="0"/>
          <w:color w:val="000000"/>
          <w:spacing w:val="0"/>
          <w:sz w:val="24"/>
          <w:szCs w:val="24"/>
          <w:u w:val="none"/>
          <w:shd w:val="clear" w:color="auto" w:fill="FFFFFF"/>
        </w:rPr>
        <w:t>化石</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能源土地是人类应该留出用于吸收CO</w:t>
      </w:r>
      <w:r>
        <w:rPr>
          <w:rFonts w:hint="eastAsia" w:ascii="宋体" w:hAnsi="宋体" w:eastAsia="宋体" w:cs="宋体"/>
          <w:b w:val="0"/>
          <w:bCs w:val="0"/>
          <w:i w:val="0"/>
          <w:iCs w:val="0"/>
          <w:caps w:val="0"/>
          <w:color w:val="000000"/>
          <w:spacing w:val="0"/>
          <w:kern w:val="0"/>
          <w:sz w:val="24"/>
          <w:szCs w:val="24"/>
          <w:shd w:val="clear" w:color="auto" w:fill="FFFFFF"/>
          <w:vertAlign w:val="subscript"/>
          <w:lang w:val="en-US" w:eastAsia="zh-CN" w:bidi="ar"/>
        </w:rPr>
        <w:t>2</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的土地，但事实上人类并未留出这类土地，出于</w:t>
      </w:r>
      <w:r>
        <w:rPr>
          <w:rFonts w:hint="eastAsia" w:ascii="宋体" w:hAnsi="宋体" w:eastAsia="宋体" w:cs="宋体"/>
          <w:b w:val="0"/>
          <w:bCs w:val="0"/>
          <w:i w:val="0"/>
          <w:iCs w:val="0"/>
          <w:caps w:val="0"/>
          <w:color w:val="000000"/>
          <w:spacing w:val="0"/>
          <w:sz w:val="24"/>
          <w:szCs w:val="24"/>
          <w:u w:val="none"/>
          <w:shd w:val="clear" w:color="auto" w:fill="FFFFFF"/>
        </w:rPr>
        <w:t>生态经济</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研究的谨慎性考虑，在生态足迹的计算中，考虑了CO</w:t>
      </w:r>
      <w:r>
        <w:rPr>
          <w:rFonts w:hint="eastAsia" w:ascii="宋体" w:hAnsi="宋体" w:eastAsia="宋体" w:cs="宋体"/>
          <w:b w:val="0"/>
          <w:bCs w:val="0"/>
          <w:i w:val="0"/>
          <w:iCs w:val="0"/>
          <w:caps w:val="0"/>
          <w:color w:val="000000"/>
          <w:spacing w:val="0"/>
          <w:kern w:val="0"/>
          <w:sz w:val="24"/>
          <w:szCs w:val="24"/>
          <w:shd w:val="clear" w:color="auto" w:fill="FFFFFF"/>
          <w:vertAlign w:val="subscript"/>
          <w:lang w:val="en-US" w:eastAsia="zh-CN" w:bidi="ar"/>
        </w:rPr>
        <w:t>2</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吸收所需要的</w:t>
      </w:r>
      <w:r>
        <w:rPr>
          <w:rFonts w:hint="eastAsia" w:ascii="宋体" w:hAnsi="宋体" w:eastAsia="宋体" w:cs="宋体"/>
          <w:b w:val="0"/>
          <w:bCs w:val="0"/>
          <w:i w:val="0"/>
          <w:iCs w:val="0"/>
          <w:caps w:val="0"/>
          <w:color w:val="000000"/>
          <w:spacing w:val="0"/>
          <w:sz w:val="24"/>
          <w:szCs w:val="24"/>
          <w:u w:val="none"/>
          <w:shd w:val="clear" w:color="auto" w:fill="FFFFFF"/>
        </w:rPr>
        <w:t>化石能源</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土地面积。由于人类定居在最肥沃的土壤上，因此</w:t>
      </w:r>
      <w:r>
        <w:rPr>
          <w:rFonts w:hint="eastAsia" w:ascii="宋体" w:hAnsi="宋体" w:eastAsia="宋体" w:cs="宋体"/>
          <w:b w:val="0"/>
          <w:bCs w:val="0"/>
          <w:i w:val="0"/>
          <w:iCs w:val="0"/>
          <w:caps w:val="0"/>
          <w:color w:val="000000"/>
          <w:spacing w:val="0"/>
          <w:sz w:val="24"/>
          <w:szCs w:val="24"/>
          <w:u w:val="none"/>
          <w:shd w:val="clear" w:color="auto" w:fill="FFFFFF"/>
        </w:rPr>
        <w:t>建筑用地面积</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的增加意味着</w:t>
      </w:r>
      <w:r>
        <w:rPr>
          <w:rFonts w:hint="eastAsia" w:ascii="宋体" w:hAnsi="宋体" w:eastAsia="宋体" w:cs="宋体"/>
          <w:b w:val="0"/>
          <w:bCs w:val="0"/>
          <w:i w:val="0"/>
          <w:iCs w:val="0"/>
          <w:caps w:val="0"/>
          <w:color w:val="000000"/>
          <w:spacing w:val="0"/>
          <w:sz w:val="24"/>
          <w:szCs w:val="24"/>
          <w:u w:val="none"/>
          <w:shd w:val="clear" w:color="auto" w:fill="FFFFFF"/>
        </w:rPr>
        <w:t>生物生产量</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的损失。</w:t>
      </w:r>
    </w:p>
    <w:p w14:paraId="0E293C8F">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由于这6类</w:t>
      </w:r>
      <w:r>
        <w:rPr>
          <w:rFonts w:hint="eastAsia" w:ascii="宋体" w:hAnsi="宋体" w:eastAsia="宋体" w:cs="宋体"/>
          <w:b w:val="0"/>
          <w:bCs w:val="0"/>
          <w:i w:val="0"/>
          <w:iCs w:val="0"/>
          <w:caps w:val="0"/>
          <w:color w:val="000000"/>
          <w:spacing w:val="0"/>
          <w:sz w:val="24"/>
          <w:szCs w:val="24"/>
          <w:u w:val="none"/>
          <w:shd w:val="clear" w:color="auto" w:fill="FFFFFF"/>
        </w:rPr>
        <w:t>生物生产</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面积的</w:t>
      </w:r>
      <w:r>
        <w:rPr>
          <w:rFonts w:hint="eastAsia" w:ascii="宋体" w:hAnsi="宋体" w:eastAsia="宋体" w:cs="宋体"/>
          <w:b w:val="0"/>
          <w:bCs w:val="0"/>
          <w:i w:val="0"/>
          <w:iCs w:val="0"/>
          <w:caps w:val="0"/>
          <w:color w:val="000000"/>
          <w:spacing w:val="0"/>
          <w:sz w:val="24"/>
          <w:szCs w:val="24"/>
          <w:u w:val="none"/>
          <w:shd w:val="clear" w:color="auto" w:fill="FFFFFF"/>
        </w:rPr>
        <w:t>生态生产力</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不同，要将这些具有不同生态生产力的生物生产面积转化为具有相同生态生产力的面积，以汇总生态足迹和</w:t>
      </w:r>
      <w:r>
        <w:rPr>
          <w:rFonts w:hint="eastAsia" w:ascii="宋体" w:hAnsi="宋体" w:eastAsia="宋体" w:cs="宋体"/>
          <w:b w:val="0"/>
          <w:bCs w:val="0"/>
          <w:i w:val="0"/>
          <w:iCs w:val="0"/>
          <w:caps w:val="0"/>
          <w:color w:val="000000"/>
          <w:spacing w:val="0"/>
          <w:sz w:val="24"/>
          <w:szCs w:val="24"/>
          <w:u w:val="none"/>
          <w:shd w:val="clear" w:color="auto" w:fill="FFFFFF"/>
        </w:rPr>
        <w:t>生态承载力</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，需要对计算得到的各类生物生产面积乘以一个均衡因子，</w:t>
      </w:r>
    </w:p>
    <w:p w14:paraId="245C0103">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即rk=dk/D(k=1，2，3，… 6)</w:t>
      </w:r>
    </w:p>
    <w:p w14:paraId="666DF1E7">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式中rk为均衡因子，dk为全球第k类生物生产面积类型的平均生态生产力，D为全球所有各类生物生产面积类型的平均生态生产力。本文采用的均衡因子分别为：耕地、建筑用地为2.8，森林、</w:t>
      </w:r>
      <w:r>
        <w:rPr>
          <w:rFonts w:hint="eastAsia" w:ascii="宋体" w:hAnsi="宋体" w:eastAsia="宋体" w:cs="宋体"/>
          <w:b w:val="0"/>
          <w:bCs w:val="0"/>
          <w:i w:val="0"/>
          <w:iCs w:val="0"/>
          <w:caps w:val="0"/>
          <w:color w:val="000000"/>
          <w:spacing w:val="0"/>
          <w:sz w:val="24"/>
          <w:szCs w:val="24"/>
          <w:u w:val="none"/>
          <w:shd w:val="clear" w:color="auto" w:fill="FFFFFF"/>
        </w:rPr>
        <w:t>化石能源</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土地为1.1，草地为0.5，海洋为0.2。</w:t>
      </w:r>
    </w:p>
    <w:p w14:paraId="23D24E9F">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人均生态足迹分量</w:t>
      </w:r>
    </w:p>
    <w:p w14:paraId="6F882887">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Ai=(Pi+Ii-Ei)/(Yi · N)(i=1，2，3，… m)</w:t>
      </w:r>
    </w:p>
    <w:p w14:paraId="5164BE08">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式中Ai为第i种消费项目折算的人均生态足迹分量（hm2/人），Yi为生物生产土地生产第i种消费项目的年（世界）平均产量（kg/hm2），Pi为第i种消费项目的年生产量，Ii为第i种消费项目年进口量，Ei为第i种消费项目的年出口量，N为人口数，本文m=33。在计算煤、</w:t>
      </w:r>
      <w:r>
        <w:rPr>
          <w:rFonts w:hint="eastAsia" w:ascii="宋体" w:hAnsi="宋体" w:eastAsia="宋体" w:cs="宋体"/>
          <w:b w:val="0"/>
          <w:bCs w:val="0"/>
          <w:i w:val="0"/>
          <w:iCs w:val="0"/>
          <w:caps w:val="0"/>
          <w:color w:val="000000"/>
          <w:spacing w:val="0"/>
          <w:sz w:val="24"/>
          <w:szCs w:val="24"/>
          <w:u w:val="none"/>
          <w:shd w:val="clear" w:color="auto" w:fill="FFFFFF"/>
        </w:rPr>
        <w:t>焦炭</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、燃料油、</w:t>
      </w:r>
      <w:r>
        <w:rPr>
          <w:rFonts w:hint="eastAsia" w:ascii="宋体" w:hAnsi="宋体" w:eastAsia="宋体" w:cs="宋体"/>
          <w:b w:val="0"/>
          <w:bCs w:val="0"/>
          <w:i w:val="0"/>
          <w:iCs w:val="0"/>
          <w:caps w:val="0"/>
          <w:color w:val="000000"/>
          <w:spacing w:val="0"/>
          <w:sz w:val="24"/>
          <w:szCs w:val="24"/>
          <w:u w:val="none"/>
          <w:shd w:val="clear" w:color="auto" w:fill="FFFFFF"/>
        </w:rPr>
        <w:t>原油</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、汽油、柴油、热力和电力等能源消费项目的生态足迹时，将这些能源消费转化为</w:t>
      </w:r>
      <w:r>
        <w:rPr>
          <w:rFonts w:hint="eastAsia" w:ascii="宋体" w:hAnsi="宋体" w:eastAsia="宋体" w:cs="宋体"/>
          <w:b w:val="0"/>
          <w:bCs w:val="0"/>
          <w:i w:val="0"/>
          <w:iCs w:val="0"/>
          <w:caps w:val="0"/>
          <w:color w:val="000000"/>
          <w:spacing w:val="0"/>
          <w:sz w:val="24"/>
          <w:szCs w:val="24"/>
          <w:u w:val="none"/>
          <w:shd w:val="clear" w:color="auto" w:fill="FFFFFF"/>
        </w:rPr>
        <w:t>化石能源</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土地面积，也就是以化石能源的消费速率来估计自然资产所需要的土地面积。</w:t>
      </w:r>
    </w:p>
    <w:p w14:paraId="754C4433">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生态足迹</w:t>
      </w:r>
    </w:p>
    <w:p w14:paraId="6BBF19C7">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EF=N·ef =N·Σ（aai）=ΣrjAi=Σ（ci/pi） （1）式（1）中：EF 为总的生态足迹；N 为人口数；ef 为人均生态足迹；ci为i 种商品的人均消费量；pi为i 种消费商品的平均生产能力；aai为人均i 种交易商品折算的生物生产面积，i为所消费商品和投入的类型；Ai为第i 种消费项目折算的人均占有的生物生产面积；rj为均衡因子。</w:t>
      </w:r>
    </w:p>
    <w:p w14:paraId="1BB447C6">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生态承载力</w:t>
      </w:r>
    </w:p>
    <w:p w14:paraId="61D75F9C">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在生态承载力的计算中，由于不同国家或地区的资源禀赋不同，不仅单位面积耕地、草地、林地、建筑用地、海洋(水域)等间的生态生产能力差异很大，而且单位面积同类生物生产面积类型的生态生产力也差异很大。因此，不同国家和地区同类</w:t>
      </w:r>
      <w:r>
        <w:rPr>
          <w:rFonts w:hint="eastAsia" w:ascii="宋体" w:hAnsi="宋体" w:eastAsia="宋体" w:cs="宋体"/>
          <w:b w:val="0"/>
          <w:bCs w:val="0"/>
          <w:i w:val="0"/>
          <w:iCs w:val="0"/>
          <w:caps w:val="0"/>
          <w:color w:val="000000"/>
          <w:spacing w:val="0"/>
          <w:sz w:val="24"/>
          <w:szCs w:val="24"/>
          <w:u w:val="none"/>
          <w:shd w:val="clear" w:color="auto" w:fill="FFFFFF"/>
        </w:rPr>
        <w:t>生物生产</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面积类型的实际面积是不能进行直接对比的，需要对不同类型的面积进行标准化。不同国家或地区的某类生物生产面积类型所代表的局地产量与世界平均产量的差异可用“</w:t>
      </w:r>
      <w:r>
        <w:rPr>
          <w:rFonts w:hint="eastAsia" w:ascii="宋体" w:hAnsi="宋体" w:eastAsia="宋体" w:cs="宋体"/>
          <w:b w:val="0"/>
          <w:bCs w:val="0"/>
          <w:i w:val="0"/>
          <w:iCs w:val="0"/>
          <w:caps w:val="0"/>
          <w:color w:val="000000"/>
          <w:spacing w:val="0"/>
          <w:sz w:val="24"/>
          <w:szCs w:val="24"/>
          <w:u w:val="none"/>
          <w:shd w:val="clear" w:color="auto" w:fill="FFFFFF"/>
        </w:rPr>
        <w:t>产量因子</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”表示。某个国家或地区某类土地的产量因子是其平均生产力与世界同类土地的平均生产力的比率。同时出于谨慎性考虑，在生态承载力计算时应扣除12%的</w:t>
      </w:r>
      <w:r>
        <w:rPr>
          <w:rFonts w:hint="eastAsia" w:ascii="宋体" w:hAnsi="宋体" w:eastAsia="宋体" w:cs="宋体"/>
          <w:b w:val="0"/>
          <w:bCs w:val="0"/>
          <w:i w:val="0"/>
          <w:iCs w:val="0"/>
          <w:caps w:val="0"/>
          <w:color w:val="000000"/>
          <w:spacing w:val="0"/>
          <w:sz w:val="24"/>
          <w:szCs w:val="24"/>
          <w:u w:val="none"/>
          <w:shd w:val="clear" w:color="auto" w:fill="FFFFFF"/>
        </w:rPr>
        <w:t>生物多样性保护</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面积。</w:t>
      </w:r>
    </w:p>
    <w:p w14:paraId="351667B6">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ec=aj×rj×yj(j=1，2，3，… 6)</w:t>
      </w:r>
    </w:p>
    <w:p w14:paraId="59C0DB54">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式中 ec为人均生态承载力(hm2/人)，aj为人均</w:t>
      </w:r>
      <w:r>
        <w:rPr>
          <w:rFonts w:hint="eastAsia" w:ascii="宋体" w:hAnsi="宋体" w:eastAsia="宋体" w:cs="宋体"/>
          <w:b w:val="0"/>
          <w:bCs w:val="0"/>
          <w:i w:val="0"/>
          <w:iCs w:val="0"/>
          <w:caps w:val="0"/>
          <w:color w:val="000000"/>
          <w:spacing w:val="0"/>
          <w:sz w:val="24"/>
          <w:szCs w:val="24"/>
          <w:u w:val="none"/>
          <w:shd w:val="clear" w:color="auto" w:fill="FFFFFF"/>
        </w:rPr>
        <w:t>生物生产</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面积，rj为均衡因子，yi为产量因子。</w:t>
      </w:r>
    </w:p>
    <w:p w14:paraId="0206EFF8">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生态赤字与生态盈余</w:t>
      </w:r>
    </w:p>
    <w:p w14:paraId="6DFF0359">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区域生态足迹如果超过了区域所能提供的生态承载力，就出现</w:t>
      </w:r>
      <w:r>
        <w:rPr>
          <w:rFonts w:hint="eastAsia" w:ascii="宋体" w:hAnsi="宋体" w:eastAsia="宋体" w:cs="宋体"/>
          <w:b w:val="0"/>
          <w:bCs w:val="0"/>
          <w:i w:val="0"/>
          <w:iCs w:val="0"/>
          <w:caps w:val="0"/>
          <w:color w:val="000000"/>
          <w:spacing w:val="0"/>
          <w:sz w:val="24"/>
          <w:szCs w:val="24"/>
          <w:u w:val="none"/>
          <w:shd w:val="clear" w:color="auto" w:fill="FFFFFF"/>
        </w:rPr>
        <w:t>生态赤字</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；如果小于区域的</w:t>
      </w:r>
      <w:r>
        <w:rPr>
          <w:rFonts w:hint="eastAsia" w:ascii="宋体" w:hAnsi="宋体" w:eastAsia="宋体" w:cs="宋体"/>
          <w:b w:val="0"/>
          <w:bCs w:val="0"/>
          <w:i w:val="0"/>
          <w:iCs w:val="0"/>
          <w:caps w:val="0"/>
          <w:color w:val="000000"/>
          <w:spacing w:val="0"/>
          <w:sz w:val="24"/>
          <w:szCs w:val="24"/>
          <w:u w:val="none"/>
          <w:shd w:val="clear" w:color="auto" w:fill="FFFFFF"/>
        </w:rPr>
        <w:t>生态承载力</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，则表现为生态盈余。区域的生态赤字或</w:t>
      </w:r>
      <w:r>
        <w:rPr>
          <w:rFonts w:hint="eastAsia" w:ascii="宋体" w:hAnsi="宋体" w:eastAsia="宋体" w:cs="宋体"/>
          <w:b w:val="0"/>
          <w:bCs w:val="0"/>
          <w:i w:val="0"/>
          <w:iCs w:val="0"/>
          <w:caps w:val="0"/>
          <w:color w:val="000000"/>
          <w:spacing w:val="0"/>
          <w:sz w:val="24"/>
          <w:szCs w:val="24"/>
          <w:u w:val="none"/>
          <w:shd w:val="clear" w:color="auto" w:fill="FFFFFF"/>
        </w:rPr>
        <w:t>生态盈余</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，反映了区域人口对自然资源的利用状况。</w:t>
      </w:r>
    </w:p>
    <w:p w14:paraId="6BE327C2">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据统计，日本每人的生态足迹为4.3全球公顷(以gha为单位)，远远超过日本土地、水源所具备的生产能力(0.8gha)，所以日本只能利用别国资源。另外，这一面积是世界人均值(1.8gha)的2.4倍。如果都像日本人这样生活，就要准备24个地球，像美国那样要5个地球。就世界整体而言，生态足迹已超过1980年的地球生产能力，而2001年已超过20%。主要原因是工业国的消费，1992～2002年，世界上高收入的27个国家人均生态足迹增加了8%，但中低收入国家却减少了8%。瑞士测定了本国的生态足迹，与</w:t>
      </w:r>
      <w:r>
        <w:rPr>
          <w:rFonts w:hint="eastAsia" w:ascii="宋体" w:hAnsi="宋体" w:eastAsia="宋体" w:cs="宋体"/>
          <w:b w:val="0"/>
          <w:bCs w:val="0"/>
          <w:i w:val="0"/>
          <w:iCs w:val="0"/>
          <w:caps w:val="0"/>
          <w:color w:val="000000"/>
          <w:spacing w:val="0"/>
          <w:sz w:val="24"/>
          <w:szCs w:val="24"/>
          <w:u w:val="none"/>
          <w:shd w:val="clear" w:color="auto" w:fill="FFFFFF"/>
        </w:rPr>
        <w:t>国内生产总值</w:t>
      </w:r>
      <w:r>
        <w:rPr>
          <w:rFonts w:hint="eastAsia" w:ascii="宋体" w:hAnsi="宋体" w:eastAsia="宋体" w:cs="宋体"/>
          <w:b w:val="0"/>
          <w:bCs w:val="0"/>
          <w:i w:val="0"/>
          <w:iCs w:val="0"/>
          <w:caps w:val="0"/>
          <w:color w:val="000000"/>
          <w:spacing w:val="0"/>
          <w:sz w:val="24"/>
          <w:szCs w:val="24"/>
          <w:shd w:val="clear" w:color="auto" w:fill="FFFFFF"/>
        </w:rPr>
        <w:t>GDP一样，作为反映国家政策运营情况的指标。加拿大、澳大利亚、芬兰都采取了同样的措施。</w:t>
      </w:r>
    </w:p>
    <w:p w14:paraId="1A586213">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Willian Rees的博士生Wackernagel等曾对世界上52个国家和地区1997年的生态足迹进行了实证计算研究表明，全球平均人均生态足迹为2.8hm2，而可利用生物生产面积仅为2hm2，全球人均生态赤字0.8hm2。在计算的52个国家和地区中35个国家和地区存在生态赤字，只有12个国家和地区的人均生态足迹低于全球人均生态承载力。中国1997年的人均生态足迹为1.2 hm2，而其人均生态承载力仅为0.8 hm2，人均生态赤字为0.4 hm2。因此，从全球范围而言，人类的生态足迹已超过了全球生态承载力的35%，人类现今的消费量已超出</w:t>
      </w:r>
      <w:r>
        <w:rPr>
          <w:rFonts w:hint="eastAsia" w:ascii="宋体" w:hAnsi="宋体" w:eastAsia="宋体" w:cs="宋体"/>
          <w:b w:val="0"/>
          <w:bCs w:val="0"/>
          <w:i w:val="0"/>
          <w:iCs w:val="0"/>
          <w:caps w:val="0"/>
          <w:color w:val="000000"/>
          <w:spacing w:val="0"/>
          <w:sz w:val="24"/>
          <w:szCs w:val="24"/>
          <w:u w:val="none"/>
          <w:shd w:val="clear" w:color="auto" w:fill="FFFFFF"/>
        </w:rPr>
        <w:t>自然系统</w:t>
      </w:r>
      <w:r>
        <w:rPr>
          <w:rFonts w:hint="eastAsia" w:ascii="宋体" w:hAnsi="宋体" w:eastAsia="宋体" w:cs="宋体"/>
          <w:b w:val="0"/>
          <w:bCs w:val="0"/>
          <w:i w:val="0"/>
          <w:iCs w:val="0"/>
          <w:caps w:val="0"/>
          <w:color w:val="000000"/>
          <w:spacing w:val="0"/>
          <w:sz w:val="24"/>
          <w:szCs w:val="24"/>
          <w:shd w:val="clear" w:color="auto" w:fill="FFFFFF"/>
        </w:rPr>
        <w:t>的再生产能力，即人类正在耗尽全球的自然资产存量。</w:t>
      </w:r>
    </w:p>
    <w:p w14:paraId="640D447F">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为了让各个国家在占用了多少自然资源上“有账可查”，2004年，</w:t>
      </w:r>
      <w:r>
        <w:rPr>
          <w:rFonts w:hint="eastAsia" w:ascii="宋体" w:hAnsi="宋体" w:eastAsia="宋体" w:cs="宋体"/>
          <w:b w:val="0"/>
          <w:bCs w:val="0"/>
          <w:i w:val="0"/>
          <w:iCs w:val="0"/>
          <w:caps w:val="0"/>
          <w:color w:val="000000"/>
          <w:spacing w:val="0"/>
          <w:sz w:val="24"/>
          <w:szCs w:val="24"/>
          <w:u w:val="none"/>
          <w:shd w:val="clear" w:color="auto" w:fill="FFFFFF"/>
        </w:rPr>
        <w:t>世界自然基金会</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(WWF)的《2004地球生态报告》使用了“生态足迹”这一指标，并列出了一份“大脚黑名单”。这份由WWF和</w:t>
      </w:r>
      <w:r>
        <w:rPr>
          <w:rFonts w:hint="eastAsia" w:ascii="宋体" w:hAnsi="宋体" w:eastAsia="宋体" w:cs="宋体"/>
          <w:b w:val="0"/>
          <w:bCs w:val="0"/>
          <w:i w:val="0"/>
          <w:iCs w:val="0"/>
          <w:caps w:val="0"/>
          <w:color w:val="000000"/>
          <w:spacing w:val="0"/>
          <w:sz w:val="24"/>
          <w:szCs w:val="24"/>
          <w:u w:val="none"/>
          <w:shd w:val="clear" w:color="auto" w:fill="FFFFFF"/>
        </w:rPr>
        <w:t>联合国环境规划署</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共同完成的报告于2004年10月21日在</w:t>
      </w:r>
      <w:r>
        <w:rPr>
          <w:rFonts w:hint="eastAsia" w:ascii="宋体" w:hAnsi="宋体" w:eastAsia="宋体" w:cs="宋体"/>
          <w:b w:val="0"/>
          <w:bCs w:val="0"/>
          <w:i w:val="0"/>
          <w:iCs w:val="0"/>
          <w:caps w:val="0"/>
          <w:color w:val="000000"/>
          <w:spacing w:val="0"/>
          <w:sz w:val="24"/>
          <w:szCs w:val="24"/>
          <w:u w:val="none"/>
          <w:shd w:val="clear" w:color="auto" w:fill="FFFFFF"/>
        </w:rPr>
        <w:t>瑞士</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格兰德正式发布。十几位来自WWF总部、</w:t>
      </w:r>
      <w:r>
        <w:rPr>
          <w:rFonts w:hint="eastAsia" w:ascii="宋体" w:hAnsi="宋体" w:eastAsia="宋体" w:cs="宋体"/>
          <w:b w:val="0"/>
          <w:bCs w:val="0"/>
          <w:i w:val="0"/>
          <w:iCs w:val="0"/>
          <w:caps w:val="0"/>
          <w:color w:val="000000"/>
          <w:spacing w:val="0"/>
          <w:sz w:val="24"/>
          <w:szCs w:val="24"/>
          <w:u w:val="none"/>
          <w:shd w:val="clear" w:color="auto" w:fill="FFFFFF"/>
        </w:rPr>
        <w:t>挪威管理学院</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w:t>
      </w:r>
      <w:r>
        <w:rPr>
          <w:rFonts w:hint="eastAsia" w:ascii="宋体" w:hAnsi="宋体" w:eastAsia="宋体" w:cs="宋体"/>
          <w:b w:val="0"/>
          <w:bCs w:val="0"/>
          <w:i w:val="0"/>
          <w:iCs w:val="0"/>
          <w:caps w:val="0"/>
          <w:color w:val="000000"/>
          <w:spacing w:val="0"/>
          <w:sz w:val="24"/>
          <w:szCs w:val="24"/>
          <w:u w:val="none"/>
          <w:shd w:val="clear" w:color="auto" w:fill="FFFFFF"/>
        </w:rPr>
        <w:t>美国威斯康辛大学</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和全球足迹网络的专家参与了研究，报告的数据来自</w:t>
      </w:r>
      <w:r>
        <w:rPr>
          <w:rFonts w:hint="eastAsia" w:ascii="宋体" w:hAnsi="宋体" w:eastAsia="宋体" w:cs="宋体"/>
          <w:b w:val="0"/>
          <w:bCs w:val="0"/>
          <w:i w:val="0"/>
          <w:iCs w:val="0"/>
          <w:caps w:val="0"/>
          <w:color w:val="000000"/>
          <w:spacing w:val="0"/>
          <w:sz w:val="24"/>
          <w:szCs w:val="24"/>
          <w:u w:val="none"/>
          <w:shd w:val="clear" w:color="auto" w:fill="FFFFFF"/>
        </w:rPr>
        <w:t>联合国粮农组织</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w:t>
      </w:r>
      <w:r>
        <w:rPr>
          <w:rFonts w:hint="eastAsia" w:ascii="宋体" w:hAnsi="宋体" w:eastAsia="宋体" w:cs="宋体"/>
          <w:b w:val="0"/>
          <w:bCs w:val="0"/>
          <w:i w:val="0"/>
          <w:iCs w:val="0"/>
          <w:caps w:val="0"/>
          <w:color w:val="000000"/>
          <w:spacing w:val="0"/>
          <w:sz w:val="24"/>
          <w:szCs w:val="24"/>
          <w:u w:val="none"/>
          <w:shd w:val="clear" w:color="auto" w:fill="FFFFFF"/>
        </w:rPr>
        <w:t>国际能源机构</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w:t>
      </w:r>
      <w:r>
        <w:rPr>
          <w:rFonts w:hint="eastAsia" w:ascii="宋体" w:hAnsi="宋体" w:eastAsia="宋体" w:cs="宋体"/>
          <w:b w:val="0"/>
          <w:bCs w:val="0"/>
          <w:i w:val="0"/>
          <w:iCs w:val="0"/>
          <w:caps w:val="0"/>
          <w:color w:val="000000"/>
          <w:spacing w:val="0"/>
          <w:sz w:val="24"/>
          <w:szCs w:val="24"/>
          <w:u w:val="none"/>
          <w:shd w:val="clear" w:color="auto" w:fill="FFFFFF"/>
        </w:rPr>
        <w:t>政府间气候变化专门委员会</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以及联合国环境项目</w:t>
      </w:r>
      <w:r>
        <w:rPr>
          <w:rFonts w:hint="eastAsia" w:ascii="宋体" w:hAnsi="宋体" w:eastAsia="宋体" w:cs="宋体"/>
          <w:b w:val="0"/>
          <w:bCs w:val="0"/>
          <w:i w:val="0"/>
          <w:iCs w:val="0"/>
          <w:caps w:val="0"/>
          <w:color w:val="000000"/>
          <w:spacing w:val="0"/>
          <w:sz w:val="24"/>
          <w:szCs w:val="24"/>
          <w:u w:val="none"/>
          <w:shd w:val="clear" w:color="auto" w:fill="FFFFFF"/>
        </w:rPr>
        <w:t>世界保护监测中心</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w:t>
      </w:r>
    </w:p>
    <w:p w14:paraId="3C73104A">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在这份“大脚黑名单”上，</w:t>
      </w:r>
      <w:r>
        <w:rPr>
          <w:rFonts w:hint="eastAsia" w:ascii="宋体" w:hAnsi="宋体" w:eastAsia="宋体" w:cs="宋体"/>
          <w:b w:val="0"/>
          <w:bCs w:val="0"/>
          <w:i w:val="0"/>
          <w:iCs w:val="0"/>
          <w:caps w:val="0"/>
          <w:color w:val="000000"/>
          <w:spacing w:val="0"/>
          <w:sz w:val="24"/>
          <w:szCs w:val="24"/>
          <w:u w:val="none"/>
          <w:shd w:val="clear" w:color="auto" w:fill="FFFFFF"/>
        </w:rPr>
        <w:t>阿联酋</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以其高水平的物质生活和近乎疯狂的石油开采“荣登榜首”———人均生态足迹达9.9公顷，是全球平均水平(2.2公顷)的4.5倍；美国、</w:t>
      </w:r>
      <w:r>
        <w:rPr>
          <w:rFonts w:hint="eastAsia" w:ascii="宋体" w:hAnsi="宋体" w:eastAsia="宋体" w:cs="宋体"/>
          <w:b w:val="0"/>
          <w:bCs w:val="0"/>
          <w:i w:val="0"/>
          <w:iCs w:val="0"/>
          <w:caps w:val="0"/>
          <w:color w:val="000000"/>
          <w:spacing w:val="0"/>
          <w:sz w:val="24"/>
          <w:szCs w:val="24"/>
          <w:u w:val="none"/>
          <w:shd w:val="clear" w:color="auto" w:fill="FFFFFF"/>
        </w:rPr>
        <w:t>科威特</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紧随其后，以人均生态足迹9.5公顷位居第二。贫困的</w:t>
      </w:r>
      <w:r>
        <w:rPr>
          <w:rFonts w:hint="eastAsia" w:ascii="宋体" w:hAnsi="宋体" w:eastAsia="宋体" w:cs="宋体"/>
          <w:b w:val="0"/>
          <w:bCs w:val="0"/>
          <w:i w:val="0"/>
          <w:iCs w:val="0"/>
          <w:caps w:val="0"/>
          <w:color w:val="000000"/>
          <w:spacing w:val="0"/>
          <w:sz w:val="24"/>
          <w:szCs w:val="24"/>
          <w:u w:val="none"/>
          <w:shd w:val="clear" w:color="auto" w:fill="FFFFFF"/>
        </w:rPr>
        <w:t>阿富汗</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则以人均0.3公顷生态足迹位居最后。中国排名第75位，人均生态足迹为1.5公顷，低于2.2公顷的全球平均水平。“但中国人口数目庞大，其人均生态承载能力(即大自然能够给予的消耗量)仅为0.8公顷，生态赤字高达0.7公顷，而全球的平均生态赤字为0.4公顷。”专家们认为，由于发展中国家的人均自然消耗量还将迅速增加，中国的整体生态形势更加不容乐观。报告显示，美国、日本、德国、英国、意大利、法国、韩国、西班牙、印度均是生态赤字很大的国家。“很简单，如果生态足迹超过了生态承载能力，就是不可持续的。为实现全球的可持续发展，每个人都有义务和责任来减少自然资源的消费，减小自身的生态足迹。”《报告》的主要作者、</w:t>
      </w:r>
      <w:r>
        <w:rPr>
          <w:rFonts w:hint="eastAsia" w:ascii="宋体" w:hAnsi="宋体" w:eastAsia="宋体" w:cs="宋体"/>
          <w:b w:val="0"/>
          <w:bCs w:val="0"/>
          <w:i w:val="0"/>
          <w:iCs w:val="0"/>
          <w:caps w:val="0"/>
          <w:color w:val="000000"/>
          <w:spacing w:val="0"/>
          <w:sz w:val="24"/>
          <w:szCs w:val="24"/>
          <w:u w:val="none"/>
          <w:shd w:val="clear" w:color="auto" w:fill="FFFFFF"/>
        </w:rPr>
        <w:t>生态学家</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骆乔森(Jonathan　Loh)说。报告说，巴西、加拿大、印度尼西亚、阿根廷、刚果、</w:t>
      </w:r>
      <w:r>
        <w:rPr>
          <w:rFonts w:hint="eastAsia" w:ascii="宋体" w:hAnsi="宋体" w:eastAsia="宋体" w:cs="宋体"/>
          <w:b w:val="0"/>
          <w:bCs w:val="0"/>
          <w:i w:val="0"/>
          <w:iCs w:val="0"/>
          <w:caps w:val="0"/>
          <w:color w:val="000000"/>
          <w:spacing w:val="0"/>
          <w:sz w:val="24"/>
          <w:szCs w:val="24"/>
          <w:u w:val="none"/>
          <w:shd w:val="clear" w:color="auto" w:fill="FFFFFF"/>
        </w:rPr>
        <w:t>秘鲁</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w:t>
      </w:r>
      <w:r>
        <w:rPr>
          <w:rFonts w:hint="eastAsia" w:ascii="宋体" w:hAnsi="宋体" w:eastAsia="宋体" w:cs="宋体"/>
          <w:b w:val="0"/>
          <w:bCs w:val="0"/>
          <w:i w:val="0"/>
          <w:iCs w:val="0"/>
          <w:caps w:val="0"/>
          <w:color w:val="000000"/>
          <w:spacing w:val="0"/>
          <w:sz w:val="24"/>
          <w:szCs w:val="24"/>
          <w:u w:val="none"/>
          <w:shd w:val="clear" w:color="auto" w:fill="FFFFFF"/>
        </w:rPr>
        <w:t>安哥拉</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、巴布亚新几内亚、俄罗斯、新西兰等国家由于国土面积辽阔、人口相对稀少或者位于热带</w:t>
      </w:r>
      <w:r>
        <w:rPr>
          <w:rFonts w:hint="eastAsia" w:ascii="宋体" w:hAnsi="宋体" w:eastAsia="宋体" w:cs="宋体"/>
          <w:b w:val="0"/>
          <w:bCs w:val="0"/>
          <w:i w:val="0"/>
          <w:iCs w:val="0"/>
          <w:caps w:val="0"/>
          <w:color w:val="000000"/>
          <w:spacing w:val="0"/>
          <w:sz w:val="24"/>
          <w:szCs w:val="24"/>
          <w:u w:val="none"/>
          <w:shd w:val="clear" w:color="auto" w:fill="FFFFFF"/>
        </w:rPr>
        <w:t>亚热带地区</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在“生态盈余(总生态足迹小于总生态承载容量)榜”上位居前列。“就在这些生态盈余国家的居民为全球生态环境作出贡献时，西方人正在以难以持续的极端水平消耗自然资源———北美人均资源消耗水平不仅是欧洲人的两倍，甚至是亚洲或</w:t>
      </w:r>
      <w:r>
        <w:rPr>
          <w:rFonts w:hint="eastAsia" w:ascii="宋体" w:hAnsi="宋体" w:eastAsia="宋体" w:cs="宋体"/>
          <w:b w:val="0"/>
          <w:bCs w:val="0"/>
          <w:i w:val="0"/>
          <w:iCs w:val="0"/>
          <w:caps w:val="0"/>
          <w:color w:val="000000"/>
          <w:spacing w:val="0"/>
          <w:sz w:val="24"/>
          <w:szCs w:val="24"/>
          <w:u w:val="none"/>
          <w:shd w:val="clear" w:color="auto" w:fill="FFFFFF"/>
        </w:rPr>
        <w:t>非洲人</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的七倍。”专家们批评说，“如果全球的居民都达到美国居民的生活水平，人类将需要5个地球。”报告的作者们称，他们试图从另一角度寻找“谁应该对全球生态危机负有更大责任”这一争论不休话题的答案。</w:t>
      </w:r>
    </w:p>
    <w:p w14:paraId="7EE939CB">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“那些生态赤字较大国家的资源消耗量已经超过了本国的资源再生能力，其结果就是加剧了</w:t>
      </w:r>
      <w:r>
        <w:rPr>
          <w:rFonts w:hint="eastAsia" w:ascii="宋体" w:hAnsi="宋体" w:eastAsia="宋体" w:cs="宋体"/>
          <w:b w:val="0"/>
          <w:bCs w:val="0"/>
          <w:i w:val="0"/>
          <w:iCs w:val="0"/>
          <w:caps w:val="0"/>
          <w:color w:val="000000"/>
          <w:spacing w:val="0"/>
          <w:sz w:val="24"/>
          <w:szCs w:val="24"/>
          <w:u w:val="none"/>
          <w:shd w:val="clear" w:color="auto" w:fill="FFFFFF"/>
        </w:rPr>
        <w:t>环境恶化</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，或者将这种</w:t>
      </w:r>
      <w:r>
        <w:rPr>
          <w:rFonts w:hint="eastAsia" w:ascii="宋体" w:hAnsi="宋体" w:eastAsia="宋体" w:cs="宋体"/>
          <w:b w:val="0"/>
          <w:bCs w:val="0"/>
          <w:i w:val="0"/>
          <w:iCs w:val="0"/>
          <w:caps w:val="0"/>
          <w:color w:val="000000"/>
          <w:spacing w:val="0"/>
          <w:sz w:val="24"/>
          <w:szCs w:val="24"/>
          <w:u w:val="none"/>
          <w:shd w:val="clear" w:color="auto" w:fill="FFFFFF"/>
        </w:rPr>
        <w:t>生态危机</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通过原材料进口等</w:t>
      </w:r>
      <w:r>
        <w:rPr>
          <w:rFonts w:hint="eastAsia" w:ascii="宋体" w:hAnsi="宋体" w:eastAsia="宋体" w:cs="宋体"/>
          <w:b w:val="0"/>
          <w:bCs w:val="0"/>
          <w:i w:val="0"/>
          <w:iCs w:val="0"/>
          <w:caps w:val="0"/>
          <w:color w:val="000000"/>
          <w:spacing w:val="0"/>
          <w:sz w:val="24"/>
          <w:szCs w:val="24"/>
          <w:u w:val="none"/>
          <w:shd w:val="clear" w:color="auto" w:fill="FFFFFF"/>
        </w:rPr>
        <w:t>国际贸易方式</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转移到了其他国家或地区。”</w:t>
      </w:r>
      <w:r>
        <w:rPr>
          <w:rFonts w:hint="eastAsia" w:ascii="宋体" w:hAnsi="宋体" w:eastAsia="宋体" w:cs="宋体"/>
          <w:b w:val="0"/>
          <w:bCs w:val="0"/>
          <w:i w:val="0"/>
          <w:iCs w:val="0"/>
          <w:caps w:val="0"/>
          <w:color w:val="000000"/>
          <w:spacing w:val="0"/>
          <w:sz w:val="24"/>
          <w:szCs w:val="24"/>
          <w:u w:val="none"/>
          <w:shd w:val="clear" w:color="auto" w:fill="FFFFFF"/>
        </w:rPr>
        <w:t>郝克明</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还担心，大大小小的</w:t>
      </w:r>
      <w:r>
        <w:rPr>
          <w:rFonts w:hint="eastAsia" w:ascii="宋体" w:hAnsi="宋体" w:eastAsia="宋体" w:cs="宋体"/>
          <w:b w:val="0"/>
          <w:bCs w:val="0"/>
          <w:i w:val="0"/>
          <w:iCs w:val="0"/>
          <w:caps w:val="0"/>
          <w:color w:val="000000"/>
          <w:spacing w:val="0"/>
          <w:sz w:val="24"/>
          <w:szCs w:val="24"/>
          <w:u w:val="none"/>
          <w:shd w:val="clear" w:color="auto" w:fill="FFFFFF"/>
        </w:rPr>
        <w:t>环保组织</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如何说服人们为了追求高水平生活而不去高破坏地消耗地球资源。“使政府、工业界和公众转向可再生能源，推广节能的技术、建筑和交通系统具有至关重要的意义。”马丁说。</w:t>
      </w:r>
    </w:p>
    <w:p w14:paraId="6C686B66">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国际环境组织世界自然基金会（WWF）与</w:t>
      </w:r>
      <w:r>
        <w:rPr>
          <w:rFonts w:hint="eastAsia" w:ascii="宋体" w:hAnsi="宋体" w:eastAsia="宋体" w:cs="宋体"/>
          <w:b w:val="0"/>
          <w:bCs w:val="0"/>
          <w:i w:val="0"/>
          <w:iCs w:val="0"/>
          <w:caps w:val="0"/>
          <w:color w:val="000000"/>
          <w:spacing w:val="0"/>
          <w:sz w:val="24"/>
          <w:szCs w:val="24"/>
          <w:u w:val="none"/>
          <w:shd w:val="clear" w:color="auto" w:fill="FFFFFF"/>
        </w:rPr>
        <w:t>中国环境与发展国际合作委员会</w:t>
      </w:r>
      <w:r>
        <w:rPr>
          <w:rFonts w:hint="eastAsia" w:ascii="宋体" w:hAnsi="宋体" w:eastAsia="宋体" w:cs="宋体"/>
          <w:b w:val="0"/>
          <w:bCs w:val="0"/>
          <w:i w:val="0"/>
          <w:iCs w:val="0"/>
          <w:caps w:val="0"/>
          <w:color w:val="000000"/>
          <w:spacing w:val="0"/>
          <w:sz w:val="24"/>
          <w:szCs w:val="24"/>
          <w:shd w:val="clear" w:color="auto" w:fill="FFFFFF"/>
        </w:rPr>
        <w:t>（China Council for International Cooperation on Environment and Development）共同发布了《中国生态足迹报告》</w:t>
      </w:r>
    </w:p>
    <w:p w14:paraId="35920B68">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生态足迹通过农田、木材、水、煤炭以及垃圾处理用地等一系列自然资源的使用量，来衡量人类对大自然的需求状况。报告发现，中国的人均生态足迹仍在世界上居于较低水平；但自上世纪六十年代以来，中国消耗的</w:t>
      </w:r>
      <w:r>
        <w:rPr>
          <w:rFonts w:hint="eastAsia" w:ascii="宋体" w:hAnsi="宋体" w:eastAsia="宋体" w:cs="宋体"/>
          <w:b w:val="0"/>
          <w:bCs w:val="0"/>
          <w:i w:val="0"/>
          <w:iCs w:val="0"/>
          <w:caps w:val="0"/>
          <w:color w:val="000000"/>
          <w:spacing w:val="0"/>
          <w:sz w:val="24"/>
          <w:szCs w:val="24"/>
          <w:u w:val="none"/>
          <w:shd w:val="clear" w:color="auto" w:fill="FFFFFF"/>
        </w:rPr>
        <w:t>生态资源</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增加了近一倍。</w:t>
      </w:r>
    </w:p>
    <w:p w14:paraId="6CB1C52D">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报告警告称，如果中国的人均资源消耗达到美国的水平，“那么中国将需要全球的可用生物承载力。”</w:t>
      </w:r>
    </w:p>
    <w:p w14:paraId="0CA8516A">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u w:val="none"/>
          <w:shd w:val="clear" w:color="auto" w:fill="FFFFFF"/>
        </w:rPr>
        <w:t>世界自然基金会</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发表声明称，报告主要使用了2003年的数据，这是可用的最新的全面数据。但报告作者表示，研究结果反映了仍在持续的趋势。</w:t>
      </w:r>
    </w:p>
    <w:p w14:paraId="04671146">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报告称，中国2003年的人均资源消耗量居世界第69位，略低于</w:t>
      </w:r>
      <w:r>
        <w:rPr>
          <w:rFonts w:hint="eastAsia" w:ascii="宋体" w:hAnsi="宋体" w:eastAsia="宋体" w:cs="宋体"/>
          <w:b w:val="0"/>
          <w:bCs w:val="0"/>
          <w:i w:val="0"/>
          <w:iCs w:val="0"/>
          <w:caps w:val="0"/>
          <w:color w:val="000000"/>
          <w:spacing w:val="0"/>
          <w:sz w:val="24"/>
          <w:szCs w:val="24"/>
          <w:u w:val="none"/>
          <w:shd w:val="clear" w:color="auto" w:fill="FFFFFF"/>
        </w:rPr>
        <w:t>叙利亚</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。美国在这项指标中排名世界第二，阿联酋高居第一，日本则位列第27位。</w:t>
      </w:r>
    </w:p>
    <w:p w14:paraId="695CEDA0">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根据报告的定义，一个国家的生态足迹指的是满足该国人口需求的、具有</w:t>
      </w:r>
      <w:r>
        <w:rPr>
          <w:rFonts w:hint="eastAsia" w:ascii="宋体" w:hAnsi="宋体" w:eastAsia="宋体" w:cs="宋体"/>
          <w:b w:val="0"/>
          <w:bCs w:val="0"/>
          <w:i w:val="0"/>
          <w:iCs w:val="0"/>
          <w:caps w:val="0"/>
          <w:color w:val="000000"/>
          <w:spacing w:val="0"/>
          <w:sz w:val="24"/>
          <w:szCs w:val="24"/>
          <w:u w:val="none"/>
          <w:shd w:val="clear" w:color="auto" w:fill="FFFFFF"/>
        </w:rPr>
        <w:t>生物生产力</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的土地与水域的面积。</w:t>
      </w:r>
    </w:p>
    <w:p w14:paraId="48F3B7E0">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研究发现，中国人均生态足迹仅为1.6公顷，远低于2.2公顷的世界平均水平。但中国所能提供的自然资源经计算仅为人均0.8公顷，这意味着中国消耗了相当于其自身生态系统供给能力两倍的资源。</w:t>
      </w:r>
    </w:p>
    <w:p w14:paraId="6C3BA89E">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为了弥补其中部分缺口，中国从加拿大、印度及美国等国家进口原材料。但研究发现，其中部分原材料随后又通过制成品的形式再出口到西方国家，这使得中国成为自然资源的净出口国。</w:t>
      </w:r>
    </w:p>
    <w:p w14:paraId="2C968F11">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报告建议，中国可以采取简单易行的短期措施，例如推广使用</w:t>
      </w:r>
      <w:r>
        <w:rPr>
          <w:rFonts w:hint="eastAsia" w:ascii="宋体" w:hAnsi="宋体" w:eastAsia="宋体" w:cs="宋体"/>
          <w:b w:val="0"/>
          <w:bCs w:val="0"/>
          <w:i w:val="0"/>
          <w:iCs w:val="0"/>
          <w:caps w:val="0"/>
          <w:color w:val="000000"/>
          <w:spacing w:val="0"/>
          <w:sz w:val="24"/>
          <w:szCs w:val="24"/>
          <w:u w:val="none"/>
          <w:shd w:val="clear" w:color="auto" w:fill="FFFFFF"/>
        </w:rPr>
        <w:t>节能灯泡</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，同时着眼于长期规划。中国拥有“全球生物承载力”（提供有用</w:t>
      </w:r>
      <w:r>
        <w:rPr>
          <w:rFonts w:hint="eastAsia" w:ascii="宋体" w:hAnsi="宋体" w:eastAsia="宋体" w:cs="宋体"/>
          <w:b w:val="0"/>
          <w:bCs w:val="0"/>
          <w:i w:val="0"/>
          <w:iCs w:val="0"/>
          <w:caps w:val="0"/>
          <w:color w:val="000000"/>
          <w:spacing w:val="0"/>
          <w:sz w:val="24"/>
          <w:szCs w:val="24"/>
          <w:u w:val="none"/>
          <w:shd w:val="clear" w:color="auto" w:fill="FFFFFF"/>
        </w:rPr>
        <w:t>生物材料</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与吸纳废物的能力）的15%，美国则消耗了大约20%。</w:t>
      </w:r>
    </w:p>
    <w:p w14:paraId="24B2F090">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报告表示，未来一、二十年内，中国的消耗水平可能仍将对其自身的生态系统构成威胁，并对全球生物承载力施加更大的压力。</w:t>
      </w:r>
    </w:p>
    <w:p w14:paraId="13AED1BE">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生态足迹分析方法首先通过引入生态生产性土地概念实现了对各种自然资源的统一描述，其次通过引入等价因子和生产力系数进一步实现了各国各地区各类生态生产性土地的可加性和可比性。这使得生态足迹分析具有广泛的应用范围，既可以计算个人、家庭、城市、地区、国家乃至整个世界这些不同对象的生态足迹，对它们的足迹进行纵向的、横向的比较分析。</w:t>
      </w:r>
    </w:p>
    <w:p w14:paraId="774E2F80">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总之，生态足迹分析指标为度量</w:t>
      </w:r>
      <w:r>
        <w:rPr>
          <w:rFonts w:hint="eastAsia" w:ascii="宋体" w:hAnsi="宋体" w:eastAsia="宋体" w:cs="宋体"/>
          <w:b w:val="0"/>
          <w:bCs w:val="0"/>
          <w:i w:val="0"/>
          <w:iCs w:val="0"/>
          <w:caps w:val="0"/>
          <w:color w:val="000000"/>
          <w:spacing w:val="0"/>
          <w:sz w:val="24"/>
          <w:szCs w:val="24"/>
          <w:u w:val="none"/>
          <w:shd w:val="clear" w:color="auto" w:fill="FFFFFF"/>
        </w:rPr>
        <w:t>可持续性</w:t>
      </w: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程度提供了一杆“公平秆”，它能够对时间、空间二维的可持续性程度做出客观量度和比较，使人们能明确知晓现实距离可持续性目标尚有多远，从而有助于监测可持续方案实施的效果。另外，生态足迹计算具有很强的可复制性。这使得将生态足迹计算过程制作成一个软件包成为可能，从而可以推动该指标及方法的普及化。</w:t>
      </w:r>
    </w:p>
    <w:p w14:paraId="4789C832">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afterAutospacing="0" w:line="360" w:lineRule="auto"/>
        <w:ind w:left="0" w:firstLine="420"/>
        <w:jc w:val="left"/>
        <w:textAlignment w:val="auto"/>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pPr>
    </w:p>
    <w:p w14:paraId="38C5DF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shd w:val="clear" w:color="auto" w:fill="FFFFFF"/>
          <w:lang w:val="en-US" w:eastAsia="zh-CN" w:bidi="ar"/>
        </w:rPr>
        <w:t>例、</w:t>
      </w:r>
      <w:r>
        <w:rPr>
          <w:rFonts w:hint="eastAsia" w:ascii="宋体" w:hAnsi="宋体" w:eastAsia="宋体" w:cs="宋体"/>
          <w:b w:val="0"/>
          <w:bCs w:val="0"/>
          <w:i w:val="0"/>
          <w:iCs w:val="0"/>
          <w:caps w:val="0"/>
          <w:color w:val="000000"/>
          <w:spacing w:val="0"/>
          <w:sz w:val="24"/>
          <w:szCs w:val="24"/>
          <w:shd w:val="clear" w:color="auto" w:fill="FFFFFF"/>
        </w:rPr>
        <w:t>生态足迹是指要维持一个人、地区、国家的生存所需要的或者指能够容纳人类所排放废物的、具有生物生产力的地域面积。生态效率是产出与投入的比值，其中“产出”是指企业生产或经济体提供的产品和服务的价值；“投入”是指企业生产或经济体消耗的资源和能源及它们所造成的环境负荷。读2011年生态足迹和生态效率的国际比较表，回答下列问题。</w:t>
      </w:r>
    </w:p>
    <w:tbl>
      <w:tblPr>
        <w:tblStyle w:val="7"/>
        <w:tblW w:w="8077"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919"/>
        <w:gridCol w:w="1193"/>
        <w:gridCol w:w="1193"/>
        <w:gridCol w:w="1193"/>
        <w:gridCol w:w="1193"/>
        <w:gridCol w:w="1193"/>
        <w:gridCol w:w="1193"/>
      </w:tblGrid>
      <w:tr w14:paraId="037C6B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1338" w:hRule="atLeast"/>
        </w:trPr>
        <w:tc>
          <w:tcPr>
            <w:tcW w:w="919" w:type="dxa"/>
            <w:tcBorders>
              <w:bottom w:val="single" w:color="auto" w:sz="6" w:space="0"/>
              <w:right w:val="single" w:color="auto" w:sz="6" w:space="0"/>
            </w:tcBorders>
            <w:shd w:val="clear" w:color="auto" w:fill="FFFFFF"/>
            <w:tcMar>
              <w:top w:w="68" w:type="dxa"/>
              <w:left w:w="101" w:type="dxa"/>
              <w:bottom w:w="68" w:type="dxa"/>
              <w:right w:w="101" w:type="dxa"/>
            </w:tcMar>
            <w:vAlign w:val="center"/>
          </w:tcPr>
          <w:p w14:paraId="71D3266D">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i w:val="0"/>
                <w:iCs w:val="0"/>
                <w:caps w:val="0"/>
                <w:color w:val="000000"/>
                <w:spacing w:val="0"/>
                <w:sz w:val="24"/>
                <w:szCs w:val="24"/>
              </w:rPr>
            </w:pPr>
          </w:p>
        </w:tc>
        <w:tc>
          <w:tcPr>
            <w:tcW w:w="1193" w:type="dxa"/>
            <w:tcBorders>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3203CE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人均GDP</w:t>
            </w:r>
          </w:p>
        </w:tc>
        <w:tc>
          <w:tcPr>
            <w:tcW w:w="1193" w:type="dxa"/>
            <w:tcBorders>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6EAA47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人均生态足迹</w:t>
            </w:r>
          </w:p>
          <w:p w14:paraId="0D1C97E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(全球公顷)</w:t>
            </w:r>
          </w:p>
        </w:tc>
        <w:tc>
          <w:tcPr>
            <w:tcW w:w="1193" w:type="dxa"/>
            <w:tcBorders>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061AA64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人均生态</w:t>
            </w:r>
          </w:p>
          <w:p w14:paraId="7A72E8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足迹排名</w:t>
            </w:r>
          </w:p>
        </w:tc>
        <w:tc>
          <w:tcPr>
            <w:tcW w:w="1193" w:type="dxa"/>
            <w:tcBorders>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4F283E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生态效率(美</w:t>
            </w:r>
          </w:p>
          <w:p w14:paraId="28E813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元/全球公顷)</w:t>
            </w:r>
          </w:p>
        </w:tc>
        <w:tc>
          <w:tcPr>
            <w:tcW w:w="1193" w:type="dxa"/>
            <w:tcBorders>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12BE0D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生态效</w:t>
            </w:r>
          </w:p>
          <w:p w14:paraId="2C2830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率排名</w:t>
            </w:r>
          </w:p>
        </w:tc>
        <w:tc>
          <w:tcPr>
            <w:tcW w:w="1193" w:type="dxa"/>
            <w:tcBorders>
              <w:left w:val="single" w:color="auto" w:sz="6" w:space="0"/>
              <w:bottom w:val="single" w:color="auto" w:sz="6" w:space="0"/>
            </w:tcBorders>
            <w:shd w:val="clear" w:color="auto" w:fill="FFFFFF"/>
            <w:tcMar>
              <w:top w:w="68" w:type="dxa"/>
              <w:left w:w="101" w:type="dxa"/>
              <w:bottom w:w="68" w:type="dxa"/>
              <w:right w:w="101" w:type="dxa"/>
            </w:tcMar>
            <w:vAlign w:val="center"/>
          </w:tcPr>
          <w:p w14:paraId="7F47F1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第三产业</w:t>
            </w:r>
          </w:p>
          <w:p w14:paraId="027805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比重(%)</w:t>
            </w:r>
          </w:p>
        </w:tc>
      </w:tr>
      <w:tr w14:paraId="6FACBD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60" w:hRule="atLeast"/>
        </w:trPr>
        <w:tc>
          <w:tcPr>
            <w:tcW w:w="919" w:type="dxa"/>
            <w:tcBorders>
              <w:top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720C0E6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荷兰</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36D8B1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46 309</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5965F3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4.45</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5A8165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8</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1D85331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10 407</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2A38B9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1</w:t>
            </w:r>
          </w:p>
        </w:tc>
        <w:tc>
          <w:tcPr>
            <w:tcW w:w="1193" w:type="dxa"/>
            <w:tcBorders>
              <w:top w:val="single" w:color="auto" w:sz="6" w:space="0"/>
              <w:left w:val="single" w:color="auto" w:sz="6" w:space="0"/>
              <w:bottom w:val="single" w:color="auto" w:sz="6" w:space="0"/>
            </w:tcBorders>
            <w:shd w:val="clear" w:color="auto" w:fill="FFFFFF"/>
            <w:tcMar>
              <w:top w:w="68" w:type="dxa"/>
              <w:left w:w="101" w:type="dxa"/>
              <w:bottom w:w="68" w:type="dxa"/>
              <w:right w:w="101" w:type="dxa"/>
            </w:tcMar>
            <w:vAlign w:val="center"/>
          </w:tcPr>
          <w:p w14:paraId="3231CC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75.9</w:t>
            </w:r>
          </w:p>
        </w:tc>
      </w:tr>
      <w:tr w14:paraId="30C6994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60" w:hRule="atLeast"/>
        </w:trPr>
        <w:tc>
          <w:tcPr>
            <w:tcW w:w="919" w:type="dxa"/>
            <w:tcBorders>
              <w:top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396C2D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德国</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02429A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41 730</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4D6EB1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4.37</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21E87A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9</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34F2EC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9 549</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71A655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2</w:t>
            </w:r>
          </w:p>
        </w:tc>
        <w:tc>
          <w:tcPr>
            <w:tcW w:w="1193" w:type="dxa"/>
            <w:tcBorders>
              <w:top w:val="single" w:color="auto" w:sz="6" w:space="0"/>
              <w:left w:val="single" w:color="auto" w:sz="6" w:space="0"/>
              <w:bottom w:val="single" w:color="auto" w:sz="6" w:space="0"/>
            </w:tcBorders>
            <w:shd w:val="clear" w:color="auto" w:fill="FFFFFF"/>
            <w:tcMar>
              <w:top w:w="68" w:type="dxa"/>
              <w:left w:w="101" w:type="dxa"/>
              <w:bottom w:w="68" w:type="dxa"/>
              <w:right w:w="101" w:type="dxa"/>
            </w:tcMar>
            <w:vAlign w:val="center"/>
          </w:tcPr>
          <w:p w14:paraId="43A35E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68.7</w:t>
            </w:r>
          </w:p>
        </w:tc>
      </w:tr>
      <w:tr w14:paraId="1B27D4F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60" w:hRule="atLeast"/>
        </w:trPr>
        <w:tc>
          <w:tcPr>
            <w:tcW w:w="919" w:type="dxa"/>
            <w:tcBorders>
              <w:top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4CAC21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美国</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387A94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49 746</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369C6F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6.76</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5C7BE5D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2</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4C13951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7 359</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47E4A3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9</w:t>
            </w:r>
          </w:p>
        </w:tc>
        <w:tc>
          <w:tcPr>
            <w:tcW w:w="1193" w:type="dxa"/>
            <w:tcBorders>
              <w:top w:val="single" w:color="auto" w:sz="6" w:space="0"/>
              <w:left w:val="single" w:color="auto" w:sz="6" w:space="0"/>
              <w:bottom w:val="single" w:color="auto" w:sz="6" w:space="0"/>
            </w:tcBorders>
            <w:shd w:val="clear" w:color="auto" w:fill="FFFFFF"/>
            <w:tcMar>
              <w:top w:w="68" w:type="dxa"/>
              <w:left w:w="101" w:type="dxa"/>
              <w:bottom w:w="68" w:type="dxa"/>
              <w:right w:w="101" w:type="dxa"/>
            </w:tcMar>
            <w:vAlign w:val="center"/>
          </w:tcPr>
          <w:p w14:paraId="695B6B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78.1</w:t>
            </w:r>
          </w:p>
        </w:tc>
      </w:tr>
      <w:tr w14:paraId="04B495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60" w:hRule="atLeast"/>
        </w:trPr>
        <w:tc>
          <w:tcPr>
            <w:tcW w:w="919" w:type="dxa"/>
            <w:tcBorders>
              <w:top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3DE60E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日本</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069909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34 295</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215DA8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3.80</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2EC30E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15</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29833F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9 025</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00F0E3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5</w:t>
            </w:r>
          </w:p>
        </w:tc>
        <w:tc>
          <w:tcPr>
            <w:tcW w:w="1193" w:type="dxa"/>
            <w:tcBorders>
              <w:top w:val="single" w:color="auto" w:sz="6" w:space="0"/>
              <w:left w:val="single" w:color="auto" w:sz="6" w:space="0"/>
              <w:bottom w:val="single" w:color="auto" w:sz="6" w:space="0"/>
            </w:tcBorders>
            <w:shd w:val="clear" w:color="auto" w:fill="FFFFFF"/>
            <w:tcMar>
              <w:top w:w="68" w:type="dxa"/>
              <w:left w:w="101" w:type="dxa"/>
              <w:bottom w:w="68" w:type="dxa"/>
              <w:right w:w="101" w:type="dxa"/>
            </w:tcMar>
            <w:vAlign w:val="center"/>
          </w:tcPr>
          <w:p w14:paraId="7744B8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72.7</w:t>
            </w:r>
          </w:p>
        </w:tc>
      </w:tr>
      <w:tr w14:paraId="75C7AE5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60" w:hRule="atLeast"/>
        </w:trPr>
        <w:tc>
          <w:tcPr>
            <w:tcW w:w="919" w:type="dxa"/>
            <w:tcBorders>
              <w:top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77D24B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墨西哥</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3254E0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16 392</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25B6B0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2.39</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400A2E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23</w:t>
            </w:r>
          </w:p>
        </w:tc>
        <w:tc>
          <w:tcPr>
            <w:tcW w:w="1193" w:type="dxa"/>
            <w:tcBorders>
              <w:top w:val="single" w:color="auto" w:sz="2" w:space="0"/>
              <w:left w:val="single" w:color="auto" w:sz="2" w:space="0"/>
              <w:bottom w:val="single" w:color="auto" w:sz="2" w:space="0"/>
              <w:right w:val="single" w:color="auto" w:sz="2" w:space="0"/>
            </w:tcBorders>
            <w:shd w:val="clear" w:color="auto" w:fill="FFFFFF"/>
            <w:tcMar>
              <w:top w:w="68" w:type="dxa"/>
              <w:left w:w="101" w:type="dxa"/>
              <w:bottom w:w="68" w:type="dxa"/>
              <w:right w:w="101" w:type="dxa"/>
            </w:tcMar>
            <w:vAlign w:val="center"/>
          </w:tcPr>
          <w:p w14:paraId="1B2C61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6 858</w:t>
            </w:r>
          </w:p>
        </w:tc>
        <w:tc>
          <w:tcPr>
            <w:tcW w:w="1193" w:type="dxa"/>
            <w:tcBorders>
              <w:top w:val="single" w:color="auto" w:sz="6" w:space="0"/>
              <w:left w:val="single" w:color="auto" w:sz="6" w:space="0"/>
              <w:bottom w:val="single" w:color="auto" w:sz="6" w:space="0"/>
              <w:right w:val="single" w:color="auto" w:sz="6" w:space="0"/>
            </w:tcBorders>
            <w:shd w:val="clear" w:color="auto" w:fill="FFFFFF"/>
            <w:tcMar>
              <w:top w:w="68" w:type="dxa"/>
              <w:left w:w="101" w:type="dxa"/>
              <w:bottom w:w="68" w:type="dxa"/>
              <w:right w:w="101" w:type="dxa"/>
            </w:tcMar>
            <w:vAlign w:val="center"/>
          </w:tcPr>
          <w:p w14:paraId="392B31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12</w:t>
            </w:r>
          </w:p>
        </w:tc>
        <w:tc>
          <w:tcPr>
            <w:tcW w:w="1193" w:type="dxa"/>
            <w:tcBorders>
              <w:top w:val="single" w:color="auto" w:sz="6" w:space="0"/>
              <w:left w:val="single" w:color="auto" w:sz="6" w:space="0"/>
              <w:bottom w:val="single" w:color="auto" w:sz="6" w:space="0"/>
            </w:tcBorders>
            <w:shd w:val="clear" w:color="auto" w:fill="FFFFFF"/>
            <w:tcMar>
              <w:top w:w="68" w:type="dxa"/>
              <w:left w:w="101" w:type="dxa"/>
              <w:bottom w:w="68" w:type="dxa"/>
              <w:right w:w="101" w:type="dxa"/>
            </w:tcMar>
            <w:vAlign w:val="center"/>
          </w:tcPr>
          <w:p w14:paraId="7C387F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60.3</w:t>
            </w:r>
          </w:p>
        </w:tc>
      </w:tr>
      <w:tr w14:paraId="2B96BB3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75" w:hRule="atLeast"/>
        </w:trPr>
        <w:tc>
          <w:tcPr>
            <w:tcW w:w="919" w:type="dxa"/>
            <w:tcBorders>
              <w:top w:val="single" w:color="auto" w:sz="6" w:space="0"/>
              <w:right w:val="single" w:color="auto" w:sz="6" w:space="0"/>
            </w:tcBorders>
            <w:shd w:val="clear" w:color="auto" w:fill="FFFFFF"/>
            <w:tcMar>
              <w:top w:w="68" w:type="dxa"/>
              <w:left w:w="101" w:type="dxa"/>
              <w:bottom w:w="68" w:type="dxa"/>
              <w:right w:w="101" w:type="dxa"/>
            </w:tcMar>
            <w:vAlign w:val="center"/>
          </w:tcPr>
          <w:p w14:paraId="5663B4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中国</w:t>
            </w:r>
          </w:p>
        </w:tc>
        <w:tc>
          <w:tcPr>
            <w:tcW w:w="1193" w:type="dxa"/>
            <w:tcBorders>
              <w:top w:val="single" w:color="auto" w:sz="6" w:space="0"/>
              <w:left w:val="single" w:color="auto" w:sz="6" w:space="0"/>
              <w:right w:val="single" w:color="auto" w:sz="6" w:space="0"/>
            </w:tcBorders>
            <w:shd w:val="clear" w:color="auto" w:fill="FFFFFF"/>
            <w:tcMar>
              <w:top w:w="68" w:type="dxa"/>
              <w:left w:w="101" w:type="dxa"/>
              <w:bottom w:w="68" w:type="dxa"/>
              <w:right w:w="101" w:type="dxa"/>
            </w:tcMar>
            <w:vAlign w:val="center"/>
          </w:tcPr>
          <w:p w14:paraId="4E12C9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10 006</w:t>
            </w:r>
          </w:p>
        </w:tc>
        <w:tc>
          <w:tcPr>
            <w:tcW w:w="1193" w:type="dxa"/>
            <w:tcBorders>
              <w:top w:val="single" w:color="auto" w:sz="6" w:space="0"/>
              <w:left w:val="single" w:color="auto" w:sz="6" w:space="0"/>
              <w:right w:val="single" w:color="auto" w:sz="6" w:space="0"/>
            </w:tcBorders>
            <w:shd w:val="clear" w:color="auto" w:fill="FFFFFF"/>
            <w:tcMar>
              <w:top w:w="68" w:type="dxa"/>
              <w:left w:w="101" w:type="dxa"/>
              <w:bottom w:w="68" w:type="dxa"/>
              <w:right w:w="101" w:type="dxa"/>
            </w:tcMar>
            <w:vAlign w:val="center"/>
          </w:tcPr>
          <w:p w14:paraId="000E51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2.49</w:t>
            </w:r>
          </w:p>
        </w:tc>
        <w:tc>
          <w:tcPr>
            <w:tcW w:w="1193" w:type="dxa"/>
            <w:tcBorders>
              <w:top w:val="single" w:color="auto" w:sz="6" w:space="0"/>
              <w:left w:val="single" w:color="auto" w:sz="6" w:space="0"/>
              <w:right w:val="single" w:color="auto" w:sz="6" w:space="0"/>
            </w:tcBorders>
            <w:shd w:val="clear" w:color="auto" w:fill="FFFFFF"/>
            <w:tcMar>
              <w:top w:w="68" w:type="dxa"/>
              <w:left w:w="101" w:type="dxa"/>
              <w:bottom w:w="68" w:type="dxa"/>
              <w:right w:w="101" w:type="dxa"/>
            </w:tcMar>
            <w:vAlign w:val="center"/>
          </w:tcPr>
          <w:p w14:paraId="1B45A4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21</w:t>
            </w:r>
          </w:p>
        </w:tc>
        <w:tc>
          <w:tcPr>
            <w:tcW w:w="1193" w:type="dxa"/>
            <w:tcBorders>
              <w:top w:val="single" w:color="auto" w:sz="6" w:space="0"/>
              <w:left w:val="single" w:color="auto" w:sz="6" w:space="0"/>
              <w:right w:val="single" w:color="auto" w:sz="6" w:space="0"/>
            </w:tcBorders>
            <w:shd w:val="clear" w:color="auto" w:fill="FFFFFF"/>
            <w:tcMar>
              <w:top w:w="68" w:type="dxa"/>
              <w:left w:w="101" w:type="dxa"/>
              <w:bottom w:w="68" w:type="dxa"/>
              <w:right w:w="101" w:type="dxa"/>
            </w:tcMar>
            <w:vAlign w:val="center"/>
          </w:tcPr>
          <w:p w14:paraId="1F173F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4 019</w:t>
            </w:r>
          </w:p>
        </w:tc>
        <w:tc>
          <w:tcPr>
            <w:tcW w:w="1193" w:type="dxa"/>
            <w:tcBorders>
              <w:top w:val="single" w:color="auto" w:sz="6" w:space="0"/>
              <w:left w:val="single" w:color="auto" w:sz="6" w:space="0"/>
              <w:right w:val="single" w:color="auto" w:sz="6" w:space="0"/>
            </w:tcBorders>
            <w:shd w:val="clear" w:color="auto" w:fill="FFFFFF"/>
            <w:tcMar>
              <w:top w:w="68" w:type="dxa"/>
              <w:left w:w="101" w:type="dxa"/>
              <w:bottom w:w="68" w:type="dxa"/>
              <w:right w:w="101" w:type="dxa"/>
            </w:tcMar>
            <w:vAlign w:val="center"/>
          </w:tcPr>
          <w:p w14:paraId="55D021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24</w:t>
            </w:r>
          </w:p>
        </w:tc>
        <w:tc>
          <w:tcPr>
            <w:tcW w:w="1193" w:type="dxa"/>
            <w:tcBorders>
              <w:top w:val="single" w:color="auto" w:sz="6" w:space="0"/>
              <w:left w:val="single" w:color="auto" w:sz="6" w:space="0"/>
            </w:tcBorders>
            <w:shd w:val="clear" w:color="auto" w:fill="FFFFFF"/>
            <w:tcMar>
              <w:top w:w="68" w:type="dxa"/>
              <w:left w:w="101" w:type="dxa"/>
              <w:bottom w:w="68" w:type="dxa"/>
              <w:right w:w="101" w:type="dxa"/>
            </w:tcMar>
            <w:vAlign w:val="center"/>
          </w:tcPr>
          <w:p w14:paraId="0DD599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i w:val="0"/>
                <w:iCs w:val="0"/>
                <w:caps w:val="0"/>
                <w:color w:val="000000"/>
                <w:spacing w:val="0"/>
                <w:sz w:val="24"/>
                <w:szCs w:val="24"/>
              </w:rPr>
              <w:t>44.3</w:t>
            </w:r>
          </w:p>
        </w:tc>
      </w:tr>
    </w:tbl>
    <w:p w14:paraId="1F2137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【1】据表可知，下列说法正确的是(　　)</w:t>
      </w:r>
    </w:p>
    <w:p w14:paraId="6C4C6F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A. 高收入国家通常具有较高的人均生态足迹</w:t>
      </w:r>
    </w:p>
    <w:p w14:paraId="18A58A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B. 第三产业比重越高，生态效率也越高</w:t>
      </w:r>
    </w:p>
    <w:p w14:paraId="46FB23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C. 生态足迹的差异主要取决于人口规模、物质生活水平</w:t>
      </w:r>
    </w:p>
    <w:p w14:paraId="3805D6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D. 人均生态足迹越高越有利于生态效率的提高</w:t>
      </w:r>
    </w:p>
    <w:p w14:paraId="2354CF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【2】下列有利于降低生态足迹、提高生态效率的合理途径是(　　)</w:t>
      </w:r>
    </w:p>
    <w:p w14:paraId="6EC8CF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A. 降低高耗能工业的比重，适当提高能源价格</w:t>
      </w:r>
    </w:p>
    <w:p w14:paraId="7BB50C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B. 大力开垦荒地，扩大耕地面积，提高单位面积产量</w:t>
      </w:r>
    </w:p>
    <w:p w14:paraId="4CAD27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C. 进一步调整产业结构，加强国际合作</w:t>
      </w:r>
    </w:p>
    <w:p w14:paraId="73726F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D. 限制资源、能源开发，减轻环境负荷</w:t>
      </w:r>
    </w:p>
    <w:p w14:paraId="5FE09B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【答案】</w:t>
      </w:r>
    </w:p>
    <w:p w14:paraId="66AFE9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【1】AD</w:t>
      </w:r>
    </w:p>
    <w:p w14:paraId="7E4426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【2】AC</w:t>
      </w:r>
    </w:p>
    <w:p w14:paraId="7DE3BD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【解析】</w:t>
      </w:r>
    </w:p>
    <w:p w14:paraId="51C83EE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sz w:val="24"/>
          <w:szCs w:val="24"/>
          <w:shd w:val="clear" w:color="auto" w:fill="FFFFFF"/>
        </w:rPr>
        <w:t>【1】本题考查可持续发展的相关概念。据生态足迹和生态效率的概念，及表中数据可知：高收入国家通常具有较高的人均生态足迹，人均生态足迹越高越有利于生态效率的提高。故AD项正确。</w:t>
      </w:r>
    </w:p>
    <w:p w14:paraId="3E182A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sz w:val="24"/>
          <w:szCs w:val="24"/>
        </w:rPr>
      </w:pPr>
      <w:r>
        <w:rPr>
          <w:rFonts w:hint="eastAsia" w:ascii="宋体" w:hAnsi="宋体" w:eastAsia="宋体" w:cs="宋体"/>
          <w:b w:val="0"/>
          <w:bCs w:val="0"/>
          <w:i w:val="0"/>
          <w:iCs w:val="0"/>
          <w:caps w:val="0"/>
          <w:color w:val="000000"/>
          <w:spacing w:val="0"/>
          <w:sz w:val="24"/>
          <w:szCs w:val="24"/>
          <w:shd w:val="clear" w:color="auto" w:fill="FFFFFF"/>
        </w:rPr>
        <w:t>【2】本题考查可持续发展的对策措施。进一步调整产业结构，降低高耗能工业的比重，适当提高能源价格，可以减少能源消耗，有利于降低生态足迹，故AC项正确。“大力开垦荒地”，会破坏植被，加大生态足迹；“限制资源、能源开发”是不现实的，故BD项错误。</w:t>
      </w:r>
    </w:p>
    <w:sectPr>
      <w:headerReference r:id="rId3" w:type="default"/>
      <w:footerReference r:id="rId4" w:type="default"/>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3CA7F">
    <w:pPr>
      <w:tabs>
        <w:tab w:val="center" w:pos="4153"/>
        <w:tab w:val="right" w:pos="8306"/>
      </w:tabs>
      <w:snapToGrid w:val="0"/>
      <w:jc w:val="left"/>
      <w:rPr>
        <w:rFonts w:ascii="Times New Roman" w:hAnsi="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D436E">
    <w:pPr>
      <w:pBdr>
        <w:bottom w:val="none" w:color="auto" w:sz="0" w:space="1"/>
      </w:pBdr>
      <w:snapToGrid w:val="0"/>
      <w:rPr>
        <w:rFonts w:ascii="Times New Roman" w:hAnsi="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34"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WJlMmFjYTg0MDIxMmQ1NjNiMGFhZDFmMmZjNmNkYmQifQ=="/>
    <w:docVar w:name="KSO_WPS_MARK_KEY" w:val="40386db1-0c42-473f-9a12-25b6bd134102"/>
  </w:docVars>
  <w:rsids>
    <w:rsidRoot w:val="16063E1A"/>
    <w:rsid w:val="004151FC"/>
    <w:rsid w:val="00C02FC6"/>
    <w:rsid w:val="16063E1A"/>
    <w:rsid w:val="365E4311"/>
    <w:rsid w:val="44A92C26"/>
    <w:rsid w:val="52FF65DE"/>
    <w:rsid w:val="7A3832B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libri Light" w:hAnsi="Calibri Light" w:eastAsia="宋体" w:cs="Times New Roman"/>
      <w:b/>
      <w:bCs/>
      <w:sz w:val="32"/>
      <w:szCs w:val="32"/>
    </w:rPr>
  </w:style>
  <w:style w:type="paragraph" w:styleId="4">
    <w:name w:val="footer"/>
    <w:basedOn w:val="1"/>
    <w:link w:val="11"/>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页眉 Char"/>
    <w:link w:val="5"/>
    <w:semiHidden/>
    <w:qFormat/>
    <w:uiPriority w:val="99"/>
    <w:rPr>
      <w:sz w:val="18"/>
      <w:szCs w:val="18"/>
      <w:lang w:eastAsia="zh-CN"/>
    </w:rPr>
  </w:style>
  <w:style w:type="character" w:customStyle="1" w:styleId="11">
    <w:name w:val="页脚 Char"/>
    <w:link w:val="4"/>
    <w:semiHidden/>
    <w:qFormat/>
    <w:uiPriority w:val="99"/>
    <w:rPr>
      <w:sz w:val="18"/>
      <w:szCs w:val="18"/>
      <w:lang w:eastAsia="zh-CN"/>
    </w:rPr>
  </w:style>
  <w:style w:type="paragraph" w:customStyle="1" w:styleId="12">
    <w:name w:val="三级章节"/>
    <w:basedOn w:val="1"/>
    <w:qFormat/>
    <w:uiPriority w:val="0"/>
    <w:pPr>
      <w:outlineLvl w:val="3"/>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6945</Words>
  <Characters>7565</Characters>
  <Lines>0</Lines>
  <Paragraphs>0</Paragraphs>
  <TotalTime>1</TotalTime>
  <ScaleCrop>false</ScaleCrop>
  <LinksUpToDate>false</LinksUpToDate>
  <CharactersWithSpaces>7645</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2023-02-04T05:13:00Z</dcterms:created>
  <dc:creator>Lenovo</dc:creator>
  <cp:lastModifiedBy>影1415238076</cp:lastModifiedBy>
  <dcterms:modified xsi:type="dcterms:W3CDTF">2026-05-19T08:29:41Z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eyJoZGlkIjoiZTdlODIwZmQzNmQ5ZmQ3OTUwYjBmYjBlMjhjZTFkMDQiLCJ1c2VySWQiOiIxMjI2MTI0MjcyIn0=</vt:lpwstr>
  </property>
  <property fmtid="{D5CDD505-2E9C-101B-9397-08002B2CF9AE}" pid="7" name="KSOProductBuildVer">
    <vt:lpwstr>2052-12.1.0.18240</vt:lpwstr>
  </property>
  <property fmtid="{D5CDD505-2E9C-101B-9397-08002B2CF9AE}" pid="8" name="ICV">
    <vt:lpwstr>51188B6C401D4622BED3294703ECE09C_12</vt:lpwstr>
  </property>
</Properties>
</file>